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FDC8" w14:textId="63FE3902" w:rsidR="00A26E9E" w:rsidRPr="00142BA0" w:rsidRDefault="006F3EC0" w:rsidP="00A26E9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s-419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s-419"/>
        </w:rPr>
        <w:t>Detalles</w:t>
      </w:r>
      <w:r w:rsidRPr="00142B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s-419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s-419"/>
        </w:rPr>
        <w:t>d</w:t>
      </w:r>
      <w:r w:rsidR="00142BA0" w:rsidRPr="00142B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s-419"/>
        </w:rPr>
        <w:t xml:space="preserve">el calendario de renovación </w:t>
      </w:r>
      <w:r w:rsidR="00985E50" w:rsidRPr="00142B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s-419"/>
        </w:rPr>
        <w:t xml:space="preserve"> </w:t>
      </w:r>
    </w:p>
    <w:p w14:paraId="1F40395B" w14:textId="4E8893FB" w:rsidR="00142BA0" w:rsidRPr="00142BA0" w:rsidRDefault="00142BA0" w:rsidP="00985E50">
      <w:pPr>
        <w:rPr>
          <w:sz w:val="24"/>
          <w:szCs w:val="24"/>
          <w:lang w:val="es-419"/>
        </w:rPr>
      </w:pPr>
      <w:r w:rsidRPr="00142BA0">
        <w:rPr>
          <w:sz w:val="24"/>
          <w:szCs w:val="24"/>
          <w:lang w:val="es-419"/>
        </w:rPr>
        <w:t xml:space="preserve">En marzo del 2023, </w:t>
      </w:r>
      <w:r>
        <w:rPr>
          <w:sz w:val="24"/>
          <w:szCs w:val="24"/>
          <w:lang w:val="es-419"/>
        </w:rPr>
        <w:t xml:space="preserve">Medicaid volvió a sus operaciones </w:t>
      </w:r>
      <w:r w:rsidR="00614DDD">
        <w:rPr>
          <w:sz w:val="24"/>
          <w:szCs w:val="24"/>
          <w:lang w:val="es-419"/>
        </w:rPr>
        <w:t xml:space="preserve">regulares </w:t>
      </w:r>
      <w:r>
        <w:rPr>
          <w:sz w:val="24"/>
          <w:szCs w:val="24"/>
          <w:lang w:val="es-419"/>
        </w:rPr>
        <w:t>de renovación</w:t>
      </w:r>
      <w:r w:rsidR="00614DDD">
        <w:rPr>
          <w:sz w:val="24"/>
          <w:szCs w:val="24"/>
          <w:lang w:val="es-419"/>
        </w:rPr>
        <w:t xml:space="preserve"> y Virginia comenzó a revisar la cobertura de salud de sus afiliados para asegurarse de que aún califiquen. El calendario que aparece a continuación muestra el proceso de renovación durante los próximos 12 meses e incluye las renovaciones que comenzarán cada mes. Debido a que el proceso toma 12 meses para renovar a todos, es posible que pasen varios meses antes de que tenga noticias nuestras. </w:t>
      </w:r>
      <w:r>
        <w:rPr>
          <w:sz w:val="24"/>
          <w:szCs w:val="24"/>
          <w:lang w:val="es-419"/>
        </w:rPr>
        <w:t xml:space="preserve"> </w:t>
      </w:r>
    </w:p>
    <w:p w14:paraId="13DCF0C1" w14:textId="3B6AB64A" w:rsidR="00C74EDF" w:rsidRPr="00DF45C6" w:rsidRDefault="00DF45C6" w:rsidP="00C74EDF">
      <w:pPr>
        <w:rPr>
          <w:b/>
          <w:bCs/>
          <w:sz w:val="24"/>
          <w:szCs w:val="24"/>
          <w:lang w:val="es-419"/>
        </w:rPr>
      </w:pPr>
      <w:r w:rsidRPr="00DF45C6">
        <w:rPr>
          <w:b/>
          <w:bCs/>
          <w:sz w:val="24"/>
          <w:szCs w:val="24"/>
          <w:lang w:val="es-419"/>
        </w:rPr>
        <w:t>¿Cuándo comenzará mi proceso d</w:t>
      </w:r>
      <w:r>
        <w:rPr>
          <w:b/>
          <w:bCs/>
          <w:sz w:val="24"/>
          <w:szCs w:val="24"/>
          <w:lang w:val="es-419"/>
        </w:rPr>
        <w:t>e renovación?</w:t>
      </w:r>
    </w:p>
    <w:p w14:paraId="38AA6C00" w14:textId="2ADDE72E" w:rsidR="00DF45C6" w:rsidRPr="00DF45C6" w:rsidRDefault="00DF45C6" w:rsidP="00702395">
      <w:pPr>
        <w:rPr>
          <w:sz w:val="24"/>
          <w:szCs w:val="24"/>
          <w:lang w:val="es-419"/>
        </w:rPr>
      </w:pPr>
      <w:r w:rsidRPr="00DF45C6">
        <w:rPr>
          <w:sz w:val="24"/>
          <w:szCs w:val="24"/>
          <w:lang w:val="es-419"/>
        </w:rPr>
        <w:t>El proceso de renovación c</w:t>
      </w:r>
      <w:r>
        <w:rPr>
          <w:sz w:val="24"/>
          <w:szCs w:val="24"/>
          <w:lang w:val="es-419"/>
        </w:rPr>
        <w:t xml:space="preserve">omenzará dos meses antes del vencimiento de su renovación, como se muestra en el calendario que aparece a continuación. Por ejemplo, si el mes de renovación de su caso es febrero del 2022, comenzaremos su proceso de renovación en octubre del 2023 (consulte la línea </w:t>
      </w:r>
      <w:r w:rsidR="006F3EC0">
        <w:rPr>
          <w:sz w:val="24"/>
          <w:szCs w:val="24"/>
          <w:lang w:val="es-419"/>
        </w:rPr>
        <w:t xml:space="preserve">Núm. </w:t>
      </w:r>
      <w:r>
        <w:rPr>
          <w:sz w:val="24"/>
          <w:szCs w:val="24"/>
          <w:lang w:val="es-419"/>
        </w:rPr>
        <w:t xml:space="preserve">8 en la columna A). </w:t>
      </w:r>
    </w:p>
    <w:p w14:paraId="05047777" w14:textId="77777777" w:rsidR="00DF45C6" w:rsidRPr="00DF45C6" w:rsidRDefault="00DF45C6" w:rsidP="00DF45C6">
      <w:pPr>
        <w:rPr>
          <w:sz w:val="24"/>
          <w:szCs w:val="24"/>
          <w:lang w:val="es-419"/>
        </w:rPr>
      </w:pPr>
      <w:r w:rsidRPr="00DF45C6">
        <w:rPr>
          <w:sz w:val="24"/>
          <w:szCs w:val="24"/>
          <w:lang w:val="es-419"/>
        </w:rPr>
        <w:t>Si no sabe cuál e</w:t>
      </w:r>
      <w:r>
        <w:rPr>
          <w:sz w:val="24"/>
          <w:szCs w:val="24"/>
          <w:lang w:val="es-419"/>
        </w:rPr>
        <w:t xml:space="preserve">s su fecha de renovación, puede llamar a su Departamento Local de Servicios Sociales </w:t>
      </w:r>
      <w:r w:rsidRPr="00DF45C6">
        <w:rPr>
          <w:sz w:val="24"/>
          <w:szCs w:val="24"/>
          <w:lang w:val="es-419"/>
        </w:rPr>
        <w:t>(</w:t>
      </w:r>
      <w:hyperlink r:id="rId7" w:history="1">
        <w:r w:rsidRPr="00DF45C6">
          <w:rPr>
            <w:rStyle w:val="Hyperlink"/>
            <w:sz w:val="24"/>
            <w:szCs w:val="24"/>
            <w:lang w:val="es-419"/>
          </w:rPr>
          <w:t>https://www.dss.virginia.gov/localagency/index.cgi</w:t>
        </w:r>
      </w:hyperlink>
      <w:r w:rsidRPr="00DF45C6">
        <w:rPr>
          <w:sz w:val="24"/>
          <w:szCs w:val="24"/>
          <w:lang w:val="es-419"/>
        </w:rPr>
        <w:t>)</w:t>
      </w:r>
      <w:r>
        <w:rPr>
          <w:sz w:val="24"/>
          <w:szCs w:val="24"/>
          <w:lang w:val="es-419"/>
        </w:rPr>
        <w:t xml:space="preserve">, o a Cubre Virginia </w:t>
      </w:r>
      <w:r w:rsidRPr="00DF45C6">
        <w:rPr>
          <w:sz w:val="24"/>
          <w:szCs w:val="24"/>
          <w:lang w:val="es-419"/>
        </w:rPr>
        <w:t>(1-855-242-8282) (TTY: 1-888-221-1590).</w:t>
      </w:r>
    </w:p>
    <w:p w14:paraId="3C312D3D" w14:textId="743C4470" w:rsidR="000C1001" w:rsidRPr="005D043B" w:rsidRDefault="005D043B">
      <w:pPr>
        <w:rPr>
          <w:b/>
          <w:bCs/>
          <w:sz w:val="24"/>
          <w:szCs w:val="24"/>
          <w:lang w:val="es-419"/>
        </w:rPr>
      </w:pPr>
      <w:r w:rsidRPr="005D043B">
        <w:rPr>
          <w:b/>
          <w:bCs/>
          <w:sz w:val="24"/>
          <w:szCs w:val="24"/>
          <w:lang w:val="es-419"/>
        </w:rPr>
        <w:t>Descripción general</w:t>
      </w:r>
      <w:r w:rsidR="000C1001" w:rsidRPr="005D043B">
        <w:rPr>
          <w:b/>
          <w:bCs/>
          <w:sz w:val="24"/>
          <w:szCs w:val="24"/>
          <w:lang w:val="es-419"/>
        </w:rPr>
        <w:t xml:space="preserve"> – </w:t>
      </w:r>
      <w:r>
        <w:rPr>
          <w:b/>
          <w:bCs/>
          <w:sz w:val="24"/>
          <w:szCs w:val="24"/>
          <w:lang w:val="es-419"/>
        </w:rPr>
        <w:t xml:space="preserve">El calendario de renovación </w:t>
      </w:r>
    </w:p>
    <w:tbl>
      <w:tblPr>
        <w:tblStyle w:val="GridTable4-Accent5"/>
        <w:tblW w:w="9350" w:type="dxa"/>
        <w:tblLook w:val="0420" w:firstRow="1" w:lastRow="0" w:firstColumn="0" w:lastColumn="0" w:noHBand="0" w:noVBand="1"/>
      </w:tblPr>
      <w:tblGrid>
        <w:gridCol w:w="2070"/>
        <w:gridCol w:w="4680"/>
        <w:gridCol w:w="2600"/>
      </w:tblGrid>
      <w:tr w:rsidR="00E76222" w:rsidRPr="00C66C32" w14:paraId="515BCFC2" w14:textId="77777777" w:rsidTr="00E7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F736CEB" w14:textId="4AA513C6" w:rsidR="00693B3F" w:rsidRPr="00C66C32" w:rsidRDefault="008D0A0D">
            <w:pPr>
              <w:jc w:val="center"/>
              <w:rPr>
                <w:color w:val="auto"/>
                <w:sz w:val="24"/>
                <w:szCs w:val="24"/>
              </w:rPr>
            </w:pPr>
            <w:r w:rsidRPr="00C66C32">
              <w:rPr>
                <w:color w:val="auto"/>
                <w:sz w:val="24"/>
                <w:szCs w:val="24"/>
              </w:rPr>
              <w:t>A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66351" w14:textId="7336B9A1" w:rsidR="00693B3F" w:rsidRPr="00C66C32" w:rsidRDefault="008D0A0D" w:rsidP="00C66C32">
            <w:pPr>
              <w:jc w:val="center"/>
              <w:rPr>
                <w:color w:val="auto"/>
                <w:sz w:val="24"/>
                <w:szCs w:val="24"/>
              </w:rPr>
            </w:pPr>
            <w:r w:rsidRPr="00C66C32">
              <w:rPr>
                <w:color w:val="auto"/>
                <w:sz w:val="24"/>
                <w:szCs w:val="24"/>
              </w:rPr>
              <w:t>B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DBCDC49" w14:textId="5C524BAB" w:rsidR="00693B3F" w:rsidRPr="00C66C32" w:rsidRDefault="008D0A0D" w:rsidP="00C66C32">
            <w:pPr>
              <w:pStyle w:val="ListParagraph"/>
              <w:jc w:val="center"/>
              <w:rPr>
                <w:color w:val="auto"/>
                <w:sz w:val="24"/>
                <w:szCs w:val="24"/>
              </w:rPr>
            </w:pPr>
            <w:r w:rsidRPr="00C66C32">
              <w:rPr>
                <w:color w:val="auto"/>
                <w:sz w:val="24"/>
                <w:szCs w:val="24"/>
              </w:rPr>
              <w:t>C</w:t>
            </w:r>
          </w:p>
        </w:tc>
      </w:tr>
      <w:tr w:rsidR="0083794D" w:rsidRPr="00614A60" w14:paraId="6F2C57A7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84BA3F9" w14:textId="43C35CDC" w:rsidR="00B72C6F" w:rsidRPr="00614A60" w:rsidRDefault="006F3EC0" w:rsidP="00E7615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Núm.</w:t>
            </w:r>
            <w:r w:rsidRPr="00614A60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 xml:space="preserve"> </w:t>
            </w:r>
            <w:r w:rsidR="00614A60" w:rsidRPr="00614A60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de mes de</w:t>
            </w:r>
            <w:r w:rsidR="00657892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l proceso de</w:t>
            </w:r>
            <w:r w:rsidR="00306B4D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 xml:space="preserve"> </w:t>
            </w:r>
            <w:r w:rsidR="00614A60" w:rsidRPr="00614A60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cancelación de la inscripción continua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D71DE07" w14:textId="38CE4D46" w:rsidR="00B72C6F" w:rsidRPr="00614A60" w:rsidRDefault="00614A60" w:rsidP="00614A60">
            <w:pPr>
              <w:pStyle w:val="ListParagraph"/>
              <w:ind w:hanging="679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</w:pPr>
            <w:r w:rsidRPr="00C66C32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DC585" wp14:editId="01E242AC">
                      <wp:simplePos x="0" y="0"/>
                      <wp:positionH relativeFrom="column">
                        <wp:posOffset>2745215</wp:posOffset>
                      </wp:positionH>
                      <wp:positionV relativeFrom="paragraph">
                        <wp:posOffset>50800</wp:posOffset>
                      </wp:positionV>
                      <wp:extent cx="238540" cy="151075"/>
                      <wp:effectExtent l="0" t="0" r="9525" b="1905"/>
                      <wp:wrapNone/>
                      <wp:docPr id="3" name="Arrow: Right 3" descr="right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151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59D6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alt="right arrow" style="position:absolute;margin-left:216.15pt;margin-top:4pt;width:18.8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" adj="14760" fillcolor="white [3212]" stroked="f" strokeweight="1pt"/>
                  </w:pict>
                </mc:Fallback>
              </mc:AlternateContent>
            </w:r>
            <w:r w:rsidR="006F3EC0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M</w:t>
            </w:r>
            <w:r w:rsidRPr="00614A60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es de renovación d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e su caso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6CD6789" w14:textId="41C8A159" w:rsidR="00B72C6F" w:rsidRPr="00614A60" w:rsidRDefault="00614A60" w:rsidP="00E76153">
            <w:pPr>
              <w:pStyle w:val="ListParagraph"/>
              <w:ind w:left="41" w:firstLine="30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</w:pPr>
            <w:r w:rsidRPr="00614A60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Mes del inicio de s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u</w:t>
            </w:r>
            <w:r w:rsidR="00787CC2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proceso de</w:t>
            </w:r>
            <w:r w:rsidR="00787CC2"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419"/>
              </w:rPr>
              <w:t>renovación</w:t>
            </w:r>
          </w:p>
        </w:tc>
      </w:tr>
      <w:tr w:rsidR="00B72C6F" w:rsidRPr="00C66C32" w14:paraId="10A81772" w14:textId="77777777" w:rsidTr="00E76153">
        <w:trPr>
          <w:trHeight w:val="68"/>
        </w:trPr>
        <w:tc>
          <w:tcPr>
            <w:tcW w:w="2070" w:type="dxa"/>
            <w:tcBorders>
              <w:top w:val="single" w:sz="4" w:space="0" w:color="auto"/>
            </w:tcBorders>
          </w:tcPr>
          <w:p w14:paraId="59B14B0A" w14:textId="6A1709E6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58744A7" w14:textId="304F33D3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May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hideMark/>
          </w:tcPr>
          <w:p w14:paraId="132B973C" w14:textId="59AD3255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Mar</w:t>
            </w:r>
            <w:r w:rsidR="00167731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zo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26DBDDEF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070" w:type="dxa"/>
          </w:tcPr>
          <w:p w14:paraId="5912299D" w14:textId="10E39DE4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22E7E650" w14:textId="6C5AF9CC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Mar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zo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Oct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ubre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2020, Ju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nio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1B983D38" w14:textId="54F460A3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A</w:t>
            </w:r>
            <w:r w:rsidR="00167731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b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ril 2023</w:t>
            </w:r>
          </w:p>
        </w:tc>
      </w:tr>
      <w:tr w:rsidR="00B72C6F" w:rsidRPr="00C66C32" w14:paraId="038CF577" w14:textId="77777777" w:rsidTr="00E76153">
        <w:trPr>
          <w:trHeight w:val="68"/>
        </w:trPr>
        <w:tc>
          <w:tcPr>
            <w:tcW w:w="2070" w:type="dxa"/>
          </w:tcPr>
          <w:p w14:paraId="50682EC1" w14:textId="072CE56F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14:paraId="56234E65" w14:textId="5106C930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No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viembre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2020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Mar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zo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2021, Ju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lio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5BDDF396" w14:textId="3E2C1E10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May</w:t>
            </w:r>
            <w:r w:rsidR="00167731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67ED1E7B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070" w:type="dxa"/>
          </w:tcPr>
          <w:p w14:paraId="0BFBFEB1" w14:textId="606A903D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14:paraId="0323F900" w14:textId="216854EC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A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b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ril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Sept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2021, A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gosto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51B17DB8" w14:textId="5851568A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Jun</w:t>
            </w:r>
            <w:r w:rsidR="00167731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2DF58C8B" w14:textId="77777777" w:rsidTr="00E76153">
        <w:trPr>
          <w:trHeight w:val="68"/>
        </w:trPr>
        <w:tc>
          <w:tcPr>
            <w:tcW w:w="2070" w:type="dxa"/>
          </w:tcPr>
          <w:p w14:paraId="433D6490" w14:textId="732C67D9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14:paraId="1E7B80D5" w14:textId="08378900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Oct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ubre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2021,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Sept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0EB733B2" w14:textId="454D132B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Jul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2BC0779B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070" w:type="dxa"/>
          </w:tcPr>
          <w:p w14:paraId="4F51886C" w14:textId="0998DB0F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14:paraId="39E0A01B" w14:textId="5B408A44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Nov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2021,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Oct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ubre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401D7235" w14:textId="3D239202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Ag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st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362006C0" w14:textId="77777777" w:rsidTr="00E76153">
        <w:trPr>
          <w:trHeight w:val="68"/>
        </w:trPr>
        <w:tc>
          <w:tcPr>
            <w:tcW w:w="2070" w:type="dxa"/>
          </w:tcPr>
          <w:p w14:paraId="3599E959" w14:textId="48187F3A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18C7A55D" w14:textId="750FD4B9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D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iciembre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2021,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Nov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11B93DFE" w14:textId="3C0D2FE3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Sept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0A64499D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070" w:type="dxa"/>
          </w:tcPr>
          <w:p w14:paraId="6590BF46" w14:textId="382F99FA" w:rsidR="00B72C6F" w:rsidRPr="00C66C32" w:rsidRDefault="00702395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C66C32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E0528" wp14:editId="0F0FF1D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48260</wp:posOffset>
                      </wp:positionV>
                      <wp:extent cx="152400" cy="83820"/>
                      <wp:effectExtent l="0" t="0" r="0" b="0"/>
                      <wp:wrapNone/>
                      <wp:docPr id="4" name="Arrow: Right 4" descr="right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58CD1CD" id="Arrow: Right 4" o:spid="_x0000_s1026" type="#_x0000_t13" alt="right arrow" style="position:absolute;margin-left:4.8pt;margin-top:3.8pt;width:12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" adj="15660" fillcolor="#4472c4 [3204]" stroked="f" strokeweight="1pt"/>
                  </w:pict>
                </mc:Fallback>
              </mc:AlternateContent>
            </w:r>
            <w:r w:rsidR="00295580" w:rsidRPr="00C66C3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14:paraId="5DB8524D" w14:textId="1F9E9097" w:rsidR="00B72C6F" w:rsidRPr="00677973" w:rsidRDefault="00614A60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Enero</w:t>
            </w:r>
            <w:r w:rsidR="00B72C6F"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 xml:space="preserve"> – </w:t>
            </w:r>
            <w:proofErr w:type="gramStart"/>
            <w:r w:rsidR="00B72C6F"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Feb</w:t>
            </w:r>
            <w:r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rero</w:t>
            </w:r>
            <w:proofErr w:type="gramEnd"/>
            <w:r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 xml:space="preserve"> </w:t>
            </w:r>
            <w:r w:rsidR="00B72C6F"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2022, D</w:t>
            </w:r>
            <w:r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iciembre</w:t>
            </w:r>
            <w:r w:rsidR="00B72C6F"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  <w:tc>
          <w:tcPr>
            <w:tcW w:w="2600" w:type="dxa"/>
            <w:hideMark/>
          </w:tcPr>
          <w:p w14:paraId="05AFB8EA" w14:textId="0F0E23E7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Oct</w:t>
            </w:r>
            <w:r w:rsidR="00677973"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>ubre</w:t>
            </w:r>
            <w:r w:rsidRPr="006779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417A0B9F" w14:textId="77777777" w:rsidTr="00E76153">
        <w:trPr>
          <w:trHeight w:val="68"/>
        </w:trPr>
        <w:tc>
          <w:tcPr>
            <w:tcW w:w="2070" w:type="dxa"/>
          </w:tcPr>
          <w:p w14:paraId="093E170C" w14:textId="17EAA4E5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14:paraId="6D71AE66" w14:textId="5413F0F1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Mar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zo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May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2022, 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Enero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2024</w:t>
            </w:r>
          </w:p>
        </w:tc>
        <w:tc>
          <w:tcPr>
            <w:tcW w:w="2600" w:type="dxa"/>
            <w:hideMark/>
          </w:tcPr>
          <w:p w14:paraId="4468BF96" w14:textId="000CA06B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Nov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57218467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070" w:type="dxa"/>
          </w:tcPr>
          <w:p w14:paraId="59FFFEA7" w14:textId="562152C6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14:paraId="545B361E" w14:textId="2D6EE2B0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Jun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Oct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ubre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2022, Febr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ero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2024</w:t>
            </w:r>
          </w:p>
        </w:tc>
        <w:tc>
          <w:tcPr>
            <w:tcW w:w="2600" w:type="dxa"/>
            <w:hideMark/>
          </w:tcPr>
          <w:p w14:paraId="021CA15E" w14:textId="7D38C7D8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D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iciembre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</w:t>
            </w:r>
          </w:p>
        </w:tc>
      </w:tr>
      <w:tr w:rsidR="00B72C6F" w:rsidRPr="00C66C32" w14:paraId="13FB5780" w14:textId="77777777" w:rsidTr="00E76153">
        <w:trPr>
          <w:trHeight w:val="68"/>
        </w:trPr>
        <w:tc>
          <w:tcPr>
            <w:tcW w:w="2070" w:type="dxa"/>
          </w:tcPr>
          <w:p w14:paraId="421FD578" w14:textId="34C8A00A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14:paraId="60B69A2F" w14:textId="4C1E4D83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Nov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iembre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2022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Feb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rero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2023, Mar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zo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2024</w:t>
            </w:r>
          </w:p>
        </w:tc>
        <w:tc>
          <w:tcPr>
            <w:tcW w:w="2600" w:type="dxa"/>
            <w:hideMark/>
          </w:tcPr>
          <w:p w14:paraId="3BE14C78" w14:textId="3FE39241" w:rsidR="00B72C6F" w:rsidRPr="00677973" w:rsidRDefault="00677973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Enero</w:t>
            </w:r>
            <w:r w:rsidR="00B72C6F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2024</w:t>
            </w:r>
          </w:p>
        </w:tc>
      </w:tr>
      <w:tr w:rsidR="00B72C6F" w:rsidRPr="00C66C32" w14:paraId="03D1311E" w14:textId="77777777" w:rsidTr="00E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070" w:type="dxa"/>
          </w:tcPr>
          <w:p w14:paraId="5C2BB4A7" w14:textId="26239BB2" w:rsidR="00B72C6F" w:rsidRPr="00C66C32" w:rsidRDefault="00295580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C66C3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14:paraId="0B977212" w14:textId="23615517" w:rsidR="00B72C6F" w:rsidRPr="00677973" w:rsidRDefault="00B72C6F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Mar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zo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– </w:t>
            </w:r>
            <w:proofErr w:type="gramStart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A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b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ril</w:t>
            </w:r>
            <w:proofErr w:type="gramEnd"/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2023, A</w:t>
            </w:r>
            <w:r w:rsidR="00614A60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b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ril 2024</w:t>
            </w:r>
          </w:p>
        </w:tc>
        <w:tc>
          <w:tcPr>
            <w:tcW w:w="2600" w:type="dxa"/>
            <w:hideMark/>
          </w:tcPr>
          <w:p w14:paraId="2C58970D" w14:textId="11AB8617" w:rsidR="00B72C6F" w:rsidRPr="00677973" w:rsidRDefault="00B72C6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Febr</w:t>
            </w:r>
            <w:r w:rsidR="00677973"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>ero</w:t>
            </w:r>
            <w:r w:rsidRPr="006779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s-419"/>
              </w:rPr>
              <w:t xml:space="preserve"> 2024</w:t>
            </w:r>
          </w:p>
        </w:tc>
      </w:tr>
    </w:tbl>
    <w:p w14:paraId="6C30E0A3" w14:textId="77777777" w:rsidR="00E76222" w:rsidRPr="00677973" w:rsidRDefault="00E76222">
      <w:pPr>
        <w:rPr>
          <w:sz w:val="24"/>
          <w:szCs w:val="24"/>
          <w:lang w:val="es-419"/>
        </w:rPr>
      </w:pPr>
    </w:p>
    <w:p w14:paraId="0433B856" w14:textId="1A2C41B4" w:rsidR="00C74EDF" w:rsidRPr="00677973" w:rsidRDefault="00677973" w:rsidP="00C74EDF">
      <w:pPr>
        <w:rPr>
          <w:sz w:val="24"/>
          <w:szCs w:val="24"/>
          <w:lang w:val="es-419"/>
        </w:rPr>
      </w:pPr>
      <w:r w:rsidRPr="00677973">
        <w:rPr>
          <w:b/>
          <w:bCs/>
          <w:sz w:val="24"/>
          <w:szCs w:val="24"/>
          <w:lang w:val="es-419"/>
        </w:rPr>
        <w:t>¿Cómo comenzará mi proceso de renovación?</w:t>
      </w:r>
      <w:r w:rsidR="00702395" w:rsidRPr="00677973">
        <w:rPr>
          <w:b/>
          <w:bCs/>
          <w:sz w:val="24"/>
          <w:szCs w:val="24"/>
          <w:lang w:val="es-419"/>
        </w:rPr>
        <w:t xml:space="preserve"> </w:t>
      </w:r>
    </w:p>
    <w:p w14:paraId="1637402A" w14:textId="4A3BE043" w:rsidR="00677973" w:rsidRPr="00677973" w:rsidRDefault="00677973" w:rsidP="00C74EDF">
      <w:pPr>
        <w:rPr>
          <w:sz w:val="24"/>
          <w:szCs w:val="24"/>
          <w:lang w:val="es-419"/>
        </w:rPr>
      </w:pPr>
      <w:r w:rsidRPr="00677973">
        <w:rPr>
          <w:sz w:val="24"/>
          <w:szCs w:val="24"/>
          <w:lang w:val="es-419"/>
        </w:rPr>
        <w:t>Medicaid de Virginia da e</w:t>
      </w:r>
      <w:r>
        <w:rPr>
          <w:sz w:val="24"/>
          <w:szCs w:val="24"/>
          <w:lang w:val="es-419"/>
        </w:rPr>
        <w:t xml:space="preserve">l primer paso en el proceso de renovación. Si podemos renovar su cobertura de salud sin </w:t>
      </w:r>
      <w:r w:rsidR="00306B4D">
        <w:rPr>
          <w:sz w:val="24"/>
          <w:szCs w:val="24"/>
          <w:lang w:val="es-419"/>
        </w:rPr>
        <w:t>pedirle ning</w:t>
      </w:r>
      <w:r w:rsidR="004B496B">
        <w:rPr>
          <w:sz w:val="24"/>
          <w:szCs w:val="24"/>
          <w:lang w:val="es-419"/>
        </w:rPr>
        <w:t>u</w:t>
      </w:r>
      <w:r w:rsidR="00306B4D">
        <w:rPr>
          <w:sz w:val="24"/>
          <w:szCs w:val="24"/>
          <w:lang w:val="es-419"/>
        </w:rPr>
        <w:t>n</w:t>
      </w:r>
      <w:r w:rsidR="004B496B">
        <w:rPr>
          <w:sz w:val="24"/>
          <w:szCs w:val="24"/>
          <w:lang w:val="es-419"/>
        </w:rPr>
        <w:t>a</w:t>
      </w:r>
      <w:r w:rsidR="00306B4D">
        <w:rPr>
          <w:sz w:val="24"/>
          <w:szCs w:val="24"/>
          <w:lang w:val="es-419"/>
        </w:rPr>
        <w:t xml:space="preserve"> información</w:t>
      </w:r>
      <w:r>
        <w:rPr>
          <w:sz w:val="24"/>
          <w:szCs w:val="24"/>
          <w:lang w:val="es-419"/>
        </w:rPr>
        <w:t xml:space="preserve">, </w:t>
      </w:r>
      <w:r w:rsidR="00306B4D">
        <w:rPr>
          <w:sz w:val="24"/>
          <w:szCs w:val="24"/>
          <w:lang w:val="es-419"/>
        </w:rPr>
        <w:t xml:space="preserve">entonces </w:t>
      </w:r>
      <w:r>
        <w:rPr>
          <w:sz w:val="24"/>
          <w:szCs w:val="24"/>
          <w:lang w:val="es-419"/>
        </w:rPr>
        <w:t xml:space="preserve">recibirá una carta en el correo informándole que hemos completado su renovación </w:t>
      </w:r>
      <w:r w:rsidR="00657892">
        <w:rPr>
          <w:sz w:val="24"/>
          <w:szCs w:val="24"/>
          <w:lang w:val="es-419"/>
        </w:rPr>
        <w:t>y le informaremos de</w:t>
      </w:r>
      <w:r w:rsidR="00657892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 xml:space="preserve">su nueva fecha de renovación para el futuro. Si </w:t>
      </w:r>
      <w:r w:rsidR="004B496B">
        <w:rPr>
          <w:sz w:val="24"/>
          <w:szCs w:val="24"/>
          <w:lang w:val="es-419"/>
        </w:rPr>
        <w:t xml:space="preserve">de lo contrario, </w:t>
      </w:r>
      <w:r>
        <w:rPr>
          <w:sz w:val="24"/>
          <w:szCs w:val="24"/>
          <w:lang w:val="es-419"/>
        </w:rPr>
        <w:t xml:space="preserve">necesitamos más información, </w:t>
      </w:r>
      <w:r w:rsidR="00306B4D">
        <w:rPr>
          <w:sz w:val="24"/>
          <w:szCs w:val="24"/>
          <w:lang w:val="es-419"/>
        </w:rPr>
        <w:t xml:space="preserve">entonces </w:t>
      </w:r>
      <w:r>
        <w:rPr>
          <w:sz w:val="24"/>
          <w:szCs w:val="24"/>
          <w:lang w:val="es-419"/>
        </w:rPr>
        <w:t xml:space="preserve">recibirá </w:t>
      </w:r>
      <w:r>
        <w:rPr>
          <w:sz w:val="24"/>
          <w:szCs w:val="24"/>
          <w:lang w:val="es-419"/>
        </w:rPr>
        <w:lastRenderedPageBreak/>
        <w:t xml:space="preserve">un paquete en el correo con </w:t>
      </w:r>
      <w:r w:rsidR="00306B4D">
        <w:rPr>
          <w:sz w:val="24"/>
          <w:szCs w:val="24"/>
          <w:lang w:val="es-419"/>
        </w:rPr>
        <w:t xml:space="preserve">información </w:t>
      </w:r>
      <w:r w:rsidR="00657892">
        <w:rPr>
          <w:sz w:val="24"/>
          <w:szCs w:val="24"/>
          <w:lang w:val="es-419"/>
        </w:rPr>
        <w:t>sobre</w:t>
      </w:r>
      <w:r w:rsidR="00306B4D">
        <w:rPr>
          <w:sz w:val="24"/>
          <w:szCs w:val="24"/>
          <w:lang w:val="es-419"/>
        </w:rPr>
        <w:t xml:space="preserve"> cómo</w:t>
      </w:r>
      <w:r>
        <w:rPr>
          <w:sz w:val="24"/>
          <w:szCs w:val="24"/>
          <w:lang w:val="es-419"/>
        </w:rPr>
        <w:t xml:space="preserve"> presentar su renovación</w:t>
      </w:r>
      <w:r w:rsidR="00306B4D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 xml:space="preserve">en línea, por teléfono o completando la papelería y devolviéndola en persona o por correo/fax.  </w:t>
      </w:r>
    </w:p>
    <w:p w14:paraId="7A22C617" w14:textId="42D99B73" w:rsidR="0055775C" w:rsidRPr="0055775C" w:rsidRDefault="0055775C" w:rsidP="00C74EDF">
      <w:pPr>
        <w:rPr>
          <w:b/>
          <w:bCs/>
          <w:sz w:val="24"/>
          <w:szCs w:val="24"/>
          <w:lang w:val="es-419"/>
        </w:rPr>
      </w:pPr>
      <w:r w:rsidRPr="0055775C">
        <w:rPr>
          <w:b/>
          <w:bCs/>
          <w:sz w:val="24"/>
          <w:szCs w:val="24"/>
          <w:lang w:val="es-419"/>
        </w:rPr>
        <w:t>¿Dónde puedo encontrar más i</w:t>
      </w:r>
      <w:r>
        <w:rPr>
          <w:b/>
          <w:bCs/>
          <w:sz w:val="24"/>
          <w:szCs w:val="24"/>
          <w:lang w:val="es-419"/>
        </w:rPr>
        <w:t xml:space="preserve">nformación sobre la </w:t>
      </w:r>
      <w:r w:rsidR="00306B4D">
        <w:rPr>
          <w:b/>
          <w:bCs/>
          <w:sz w:val="24"/>
          <w:szCs w:val="24"/>
          <w:lang w:val="es-419"/>
        </w:rPr>
        <w:t xml:space="preserve">vuelta a las </w:t>
      </w:r>
      <w:r>
        <w:rPr>
          <w:b/>
          <w:bCs/>
          <w:sz w:val="24"/>
          <w:szCs w:val="24"/>
          <w:lang w:val="es-419"/>
        </w:rPr>
        <w:t>operaci</w:t>
      </w:r>
      <w:r w:rsidR="00306B4D">
        <w:rPr>
          <w:b/>
          <w:bCs/>
          <w:sz w:val="24"/>
          <w:szCs w:val="24"/>
          <w:lang w:val="es-419"/>
        </w:rPr>
        <w:t xml:space="preserve">ones regulares </w:t>
      </w:r>
      <w:r>
        <w:rPr>
          <w:b/>
          <w:bCs/>
          <w:sz w:val="24"/>
          <w:szCs w:val="24"/>
          <w:lang w:val="es-419"/>
        </w:rPr>
        <w:t xml:space="preserve">de renovación? </w:t>
      </w:r>
    </w:p>
    <w:p w14:paraId="5DAE34F0" w14:textId="21ED363C" w:rsidR="00724522" w:rsidRPr="00724522" w:rsidRDefault="00724522" w:rsidP="000B773B">
      <w:pPr>
        <w:rPr>
          <w:sz w:val="24"/>
          <w:szCs w:val="24"/>
          <w:lang w:val="es-419"/>
        </w:rPr>
      </w:pPr>
      <w:r w:rsidRPr="00724522">
        <w:rPr>
          <w:sz w:val="24"/>
          <w:szCs w:val="24"/>
          <w:lang w:val="es-419"/>
        </w:rPr>
        <w:t>Consulte los siguientes recursos en línea en el sitio web de Cub</w:t>
      </w:r>
      <w:r>
        <w:rPr>
          <w:sz w:val="24"/>
          <w:szCs w:val="24"/>
          <w:lang w:val="es-419"/>
        </w:rPr>
        <w:t xml:space="preserve">re Virginia: </w:t>
      </w:r>
      <w:hyperlink r:id="rId8" w:history="1">
        <w:r w:rsidRPr="00DA52F2">
          <w:rPr>
            <w:rStyle w:val="Hyperlink"/>
            <w:sz w:val="24"/>
            <w:szCs w:val="24"/>
            <w:lang w:val="es-419"/>
          </w:rPr>
          <w:t>Diag</w:t>
        </w:r>
        <w:r w:rsidRPr="00DA52F2">
          <w:rPr>
            <w:rStyle w:val="Hyperlink"/>
            <w:sz w:val="24"/>
            <w:szCs w:val="24"/>
            <w:lang w:val="es-419"/>
          </w:rPr>
          <w:t>r</w:t>
        </w:r>
        <w:r w:rsidRPr="00DA52F2">
          <w:rPr>
            <w:rStyle w:val="Hyperlink"/>
            <w:sz w:val="24"/>
            <w:szCs w:val="24"/>
            <w:lang w:val="es-419"/>
          </w:rPr>
          <w:t>a</w:t>
        </w:r>
        <w:r w:rsidRPr="00DA52F2">
          <w:rPr>
            <w:rStyle w:val="Hyperlink"/>
            <w:sz w:val="24"/>
            <w:szCs w:val="24"/>
            <w:lang w:val="es-419"/>
          </w:rPr>
          <w:t>m</w:t>
        </w:r>
        <w:r w:rsidRPr="00DA52F2">
          <w:rPr>
            <w:rStyle w:val="Hyperlink"/>
            <w:sz w:val="24"/>
            <w:szCs w:val="24"/>
            <w:lang w:val="es-419"/>
          </w:rPr>
          <w:t>a del proceso de renovación</w:t>
        </w:r>
      </w:hyperlink>
      <w:r>
        <w:rPr>
          <w:sz w:val="24"/>
          <w:szCs w:val="24"/>
          <w:lang w:val="es-419"/>
        </w:rPr>
        <w:t xml:space="preserve">, </w:t>
      </w:r>
      <w:hyperlink r:id="rId9" w:history="1">
        <w:r w:rsidRPr="00724522">
          <w:rPr>
            <w:rStyle w:val="Hyperlink"/>
            <w:sz w:val="24"/>
            <w:szCs w:val="24"/>
            <w:lang w:val="es-419"/>
          </w:rPr>
          <w:t xml:space="preserve">Proceso de renovación de Medicaid: </w:t>
        </w:r>
        <w:r w:rsidR="00D50A51">
          <w:rPr>
            <w:rStyle w:val="Hyperlink"/>
            <w:sz w:val="24"/>
            <w:szCs w:val="24"/>
            <w:lang w:val="es-419"/>
          </w:rPr>
          <w:t>E</w:t>
        </w:r>
        <w:r w:rsidRPr="00724522">
          <w:rPr>
            <w:rStyle w:val="Hyperlink"/>
            <w:sz w:val="24"/>
            <w:szCs w:val="24"/>
            <w:lang w:val="es-419"/>
          </w:rPr>
          <w:t>ntendiendo el proceso paso a paso</w:t>
        </w:r>
      </w:hyperlink>
      <w:r>
        <w:rPr>
          <w:sz w:val="24"/>
          <w:szCs w:val="24"/>
          <w:lang w:val="es-419"/>
        </w:rPr>
        <w:t xml:space="preserve">, </w:t>
      </w:r>
      <w:hyperlink r:id="rId10" w:history="1">
        <w:r w:rsidR="004B1658" w:rsidRPr="004B1658">
          <w:rPr>
            <w:rStyle w:val="Hyperlink"/>
            <w:sz w:val="24"/>
            <w:szCs w:val="24"/>
            <w:lang w:val="es-419"/>
          </w:rPr>
          <w:t>Diagrama de flujo del proceso de renovación, ¿dónde está usted en este proceso</w:t>
        </w:r>
      </w:hyperlink>
      <w:r w:rsidR="004B1658" w:rsidRPr="004B1658">
        <w:rPr>
          <w:sz w:val="24"/>
          <w:szCs w:val="24"/>
          <w:lang w:val="es-419"/>
        </w:rPr>
        <w:t xml:space="preserve">?, y </w:t>
      </w:r>
      <w:hyperlink r:id="rId11" w:history="1">
        <w:r w:rsidR="004B1658" w:rsidRPr="004B1658">
          <w:rPr>
            <w:rStyle w:val="Hyperlink"/>
            <w:sz w:val="24"/>
            <w:szCs w:val="24"/>
            <w:lang w:val="es-419"/>
          </w:rPr>
          <w:t>K</w:t>
        </w:r>
        <w:r w:rsidR="004B1658" w:rsidRPr="004B1658">
          <w:rPr>
            <w:rStyle w:val="Hyperlink"/>
            <w:sz w:val="24"/>
            <w:szCs w:val="24"/>
            <w:lang w:val="es-419"/>
          </w:rPr>
          <w:t>i</w:t>
        </w:r>
        <w:r w:rsidR="004B1658" w:rsidRPr="004B1658">
          <w:rPr>
            <w:rStyle w:val="Hyperlink"/>
            <w:sz w:val="24"/>
            <w:szCs w:val="24"/>
            <w:lang w:val="es-419"/>
          </w:rPr>
          <w:t>t</w:t>
        </w:r>
        <w:r w:rsidR="004B1658" w:rsidRPr="004B1658">
          <w:rPr>
            <w:rStyle w:val="Hyperlink"/>
            <w:sz w:val="24"/>
            <w:szCs w:val="24"/>
            <w:lang w:val="es-419"/>
          </w:rPr>
          <w:t xml:space="preserve"> de herramientas y materiales</w:t>
        </w:r>
      </w:hyperlink>
      <w:r w:rsidR="004B1658" w:rsidRPr="004B1658">
        <w:rPr>
          <w:sz w:val="24"/>
          <w:szCs w:val="24"/>
          <w:lang w:val="es-419"/>
        </w:rPr>
        <w:t xml:space="preserve">.  </w:t>
      </w:r>
      <w:r>
        <w:rPr>
          <w:sz w:val="24"/>
          <w:szCs w:val="24"/>
          <w:lang w:val="es-419"/>
        </w:rPr>
        <w:t xml:space="preserve"> </w:t>
      </w:r>
    </w:p>
    <w:p w14:paraId="2C8D0209" w14:textId="0BFC6DE7" w:rsidR="00DB0159" w:rsidRPr="00DB0159" w:rsidRDefault="00DB0159">
      <w:pPr>
        <w:rPr>
          <w:sz w:val="24"/>
          <w:szCs w:val="24"/>
          <w:lang w:val="es-419"/>
        </w:rPr>
      </w:pPr>
      <w:r w:rsidRPr="00DB0159">
        <w:rPr>
          <w:sz w:val="24"/>
          <w:szCs w:val="24"/>
          <w:lang w:val="es-419"/>
        </w:rPr>
        <w:t>Si tiene alguna pregunta, necesita ayuda o necesita servicios de asistencia con el idioma o letra grande, llame a Cubre Virginia al 1-855-242-8282 (TTY: 1-888-221-1590) o envíenos un correo electrónico a covervirginia@dmas.virginia.gov.</w:t>
      </w:r>
    </w:p>
    <w:sectPr w:rsidR="00DB0159" w:rsidRPr="00DB0159" w:rsidSect="00C66C32">
      <w:pgSz w:w="12240" w:h="15840"/>
      <w:pgMar w:top="900" w:right="1440" w:bottom="90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839F" w14:textId="77777777" w:rsidR="00716101" w:rsidRDefault="00716101" w:rsidP="00C66C32">
      <w:pPr>
        <w:spacing w:after="0" w:line="240" w:lineRule="auto"/>
      </w:pPr>
      <w:r>
        <w:separator/>
      </w:r>
    </w:p>
  </w:endnote>
  <w:endnote w:type="continuationSeparator" w:id="0">
    <w:p w14:paraId="7FA0E321" w14:textId="77777777" w:rsidR="00716101" w:rsidRDefault="00716101" w:rsidP="00C6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A9D6" w14:textId="77777777" w:rsidR="00716101" w:rsidRDefault="00716101" w:rsidP="00C66C32">
      <w:pPr>
        <w:spacing w:after="0" w:line="240" w:lineRule="auto"/>
      </w:pPr>
      <w:r>
        <w:separator/>
      </w:r>
    </w:p>
  </w:footnote>
  <w:footnote w:type="continuationSeparator" w:id="0">
    <w:p w14:paraId="6B6D17BD" w14:textId="77777777" w:rsidR="00716101" w:rsidRDefault="00716101" w:rsidP="00C6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201"/>
    <w:multiLevelType w:val="hybridMultilevel"/>
    <w:tmpl w:val="E1A4DCB8"/>
    <w:lvl w:ilvl="0" w:tplc="1412500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FA1"/>
    <w:multiLevelType w:val="hybridMultilevel"/>
    <w:tmpl w:val="AAD4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397"/>
    <w:multiLevelType w:val="hybridMultilevel"/>
    <w:tmpl w:val="B5CC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7187"/>
    <w:multiLevelType w:val="hybridMultilevel"/>
    <w:tmpl w:val="F4F2AE90"/>
    <w:lvl w:ilvl="0" w:tplc="BCBCF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9AB"/>
    <w:multiLevelType w:val="hybridMultilevel"/>
    <w:tmpl w:val="A2A6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01"/>
    <w:rsid w:val="000B773B"/>
    <w:rsid w:val="000C1001"/>
    <w:rsid w:val="000F668C"/>
    <w:rsid w:val="00142BA0"/>
    <w:rsid w:val="00167731"/>
    <w:rsid w:val="00275A07"/>
    <w:rsid w:val="00295580"/>
    <w:rsid w:val="00306B4D"/>
    <w:rsid w:val="004B1658"/>
    <w:rsid w:val="004B496B"/>
    <w:rsid w:val="0055775C"/>
    <w:rsid w:val="005D043B"/>
    <w:rsid w:val="00614A60"/>
    <w:rsid w:val="00614DDD"/>
    <w:rsid w:val="00657892"/>
    <w:rsid w:val="00677973"/>
    <w:rsid w:val="00693B3F"/>
    <w:rsid w:val="006E181B"/>
    <w:rsid w:val="006F3EC0"/>
    <w:rsid w:val="00702395"/>
    <w:rsid w:val="00716101"/>
    <w:rsid w:val="00724522"/>
    <w:rsid w:val="00787CC2"/>
    <w:rsid w:val="007B7A2B"/>
    <w:rsid w:val="007C1188"/>
    <w:rsid w:val="0083794D"/>
    <w:rsid w:val="008D0A0D"/>
    <w:rsid w:val="0098376B"/>
    <w:rsid w:val="00985E50"/>
    <w:rsid w:val="00A26E9E"/>
    <w:rsid w:val="00B07335"/>
    <w:rsid w:val="00B72C6F"/>
    <w:rsid w:val="00BB6E04"/>
    <w:rsid w:val="00C63B6D"/>
    <w:rsid w:val="00C66C32"/>
    <w:rsid w:val="00C74EDF"/>
    <w:rsid w:val="00D02F45"/>
    <w:rsid w:val="00D50A51"/>
    <w:rsid w:val="00DA52F2"/>
    <w:rsid w:val="00DB0159"/>
    <w:rsid w:val="00DF45C6"/>
    <w:rsid w:val="00E01B39"/>
    <w:rsid w:val="00E76153"/>
    <w:rsid w:val="00E76222"/>
    <w:rsid w:val="00F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B9DE"/>
  <w15:chartTrackingRefBased/>
  <w15:docId w15:val="{5B56248B-0916-4D7B-81E8-2B487D9E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22"/>
  </w:style>
  <w:style w:type="paragraph" w:styleId="Heading1">
    <w:name w:val="heading 1"/>
    <w:basedOn w:val="Normal"/>
    <w:next w:val="Normal"/>
    <w:link w:val="Heading1Char"/>
    <w:uiPriority w:val="9"/>
    <w:qFormat/>
    <w:rsid w:val="00A26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0C10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C1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C6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2C6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0239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32"/>
  </w:style>
  <w:style w:type="paragraph" w:styleId="Footer">
    <w:name w:val="footer"/>
    <w:basedOn w:val="Normal"/>
    <w:link w:val="FooterChar"/>
    <w:uiPriority w:val="99"/>
    <w:unhideWhenUsed/>
    <w:rsid w:val="00C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32"/>
  </w:style>
  <w:style w:type="character" w:styleId="UnresolvedMention">
    <w:name w:val="Unresolved Mention"/>
    <w:basedOn w:val="DefaultParagraphFont"/>
    <w:uiPriority w:val="99"/>
    <w:semiHidden/>
    <w:unhideWhenUsed/>
    <w:rsid w:val="0072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rva.dmas.virginia.gov/media/1928/dmas-unwind-renewal-flowchart-0223-v2-en_sp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ss.virginia.gov/localagency/index.c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erva.dmas.virginia.gov/return-to-normal-enrollment/toolkits-and-materia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verva.dmas.virginia.gov/media/1821/renewal-process-flow-sheet-where-are-you-final_sp_1_26_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erva.dmas.virginia.gov/media/1820/renewal-process-flow-sheet-step-by-step-final_sp_2_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Serra</dc:creator>
  <cp:keywords/>
  <dc:description/>
  <cp:lastModifiedBy>Montserrat Serra</cp:lastModifiedBy>
  <cp:revision>2</cp:revision>
  <dcterms:created xsi:type="dcterms:W3CDTF">2023-03-16T16:11:00Z</dcterms:created>
  <dcterms:modified xsi:type="dcterms:W3CDTF">2023-03-16T16:11:00Z</dcterms:modified>
</cp:coreProperties>
</file>