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15968" w14:textId="77777777" w:rsidR="000D4731" w:rsidRDefault="0091292E">
      <w:pPr>
        <w:pStyle w:val="Title"/>
        <w:bidi/>
        <w:rPr>
          <w:rtl/>
        </w:rPr>
      </w:pPr>
      <w:r>
        <w:rPr>
          <w:color w:val="0000FF"/>
        </w:rPr>
        <w:t>MEDICAID WORKS</w:t>
      </w:r>
    </w:p>
    <w:p w14:paraId="2C2FB736" w14:textId="77777777" w:rsidR="000D4731" w:rsidRDefault="0091292E">
      <w:pPr>
        <w:pStyle w:val="Heading1"/>
        <w:bidi/>
        <w:ind w:left="3324" w:right="3323"/>
        <w:jc w:val="center"/>
        <w:rPr>
          <w:rtl/>
        </w:rPr>
      </w:pPr>
      <w:r>
        <w:rPr>
          <w:rFonts w:hint="cs"/>
          <w:rtl/>
        </w:rPr>
        <w:t>الدليل</w:t>
      </w:r>
    </w:p>
    <w:p w14:paraId="3D945095" w14:textId="77777777" w:rsidR="000D4731" w:rsidRDefault="000D4731">
      <w:pPr>
        <w:pStyle w:val="BodyText"/>
        <w:rPr>
          <w:b/>
          <w:sz w:val="26"/>
        </w:rPr>
      </w:pPr>
    </w:p>
    <w:p w14:paraId="7DE44648" w14:textId="77777777" w:rsidR="000D4731" w:rsidRDefault="000D4731">
      <w:pPr>
        <w:pStyle w:val="BodyText"/>
        <w:spacing w:before="5"/>
        <w:rPr>
          <w:b/>
          <w:sz w:val="22"/>
        </w:rPr>
      </w:pPr>
    </w:p>
    <w:p w14:paraId="14593689" w14:textId="3D20A074" w:rsidR="000D4731" w:rsidRDefault="0091292E" w:rsidP="007E006E">
      <w:pPr>
        <w:pStyle w:val="BodyText"/>
        <w:bidi/>
        <w:spacing w:line="237" w:lineRule="auto"/>
        <w:ind w:left="100" w:right="162"/>
        <w:rPr>
          <w:rtl/>
        </w:rPr>
      </w:pPr>
      <w:r>
        <w:rPr>
          <w:rFonts w:hint="cs"/>
          <w:rtl/>
        </w:rPr>
        <w:t xml:space="preserve">يعد برنامج </w:t>
      </w:r>
      <w:r>
        <w:rPr>
          <w:b/>
          <w:i/>
          <w:color w:val="0000FF"/>
        </w:rPr>
        <w:t>MEDICAID WORKS</w:t>
      </w:r>
      <w:r>
        <w:rPr>
          <w:rFonts w:hint="cs"/>
          <w:rtl/>
        </w:rPr>
        <w:t xml:space="preserve"> بمثابة فرصة تحفيزية للعمل يقدمها برنامج </w:t>
      </w:r>
      <w:r>
        <w:t>Virginia Medicaid</w:t>
      </w:r>
      <w:r>
        <w:rPr>
          <w:rFonts w:hint="cs"/>
          <w:rtl/>
        </w:rPr>
        <w:t xml:space="preserve"> للأفراد ذوي الإعاقة الذين يعملون أو الذين يرغبون في الذهاب إلى العمل. كما أن برنامج </w:t>
      </w:r>
      <w:r>
        <w:rPr>
          <w:b/>
          <w:i/>
          <w:color w:val="0000FF"/>
        </w:rPr>
        <w:t>MEDICAID WORKS</w:t>
      </w:r>
      <w:r>
        <w:rPr>
          <w:rFonts w:hint="cs"/>
          <w:rtl/>
        </w:rPr>
        <w:t xml:space="preserve"> هو أحد الخيارات الطوعية لخطة </w:t>
      </w:r>
      <w:r>
        <w:t>Medicaid</w:t>
      </w:r>
      <w:r>
        <w:rPr>
          <w:rFonts w:hint="cs"/>
          <w:rtl/>
        </w:rPr>
        <w:t xml:space="preserve"> التي ستمكن العمال ذوي الإعاقة من كسب دخل أعلى والاحتفاظ بالمزيد من المدخرات أو الموارد أكثر مما يسمح به برنامج </w:t>
      </w:r>
      <w:r>
        <w:t>Medicaid</w:t>
      </w:r>
      <w:r>
        <w:rPr>
          <w:rFonts w:hint="cs"/>
          <w:rtl/>
        </w:rPr>
        <w:t xml:space="preserve"> عادةً. يوفر هذا البرنامج الدعم لتغطية الرعاية الصحية المستمرة حتى يتمكن الأشخاص من العمل والادخار والحصول على قدر أكبر من الاستقلال. للتقدم بطلب للحصول على برنامج </w:t>
      </w:r>
      <w:r>
        <w:t>Medicaid</w:t>
      </w:r>
      <w:r>
        <w:rPr>
          <w:rFonts w:hint="cs"/>
          <w:rtl/>
        </w:rPr>
        <w:t xml:space="preserve"> هذا</w:t>
      </w:r>
      <w:r w:rsidR="007E006E">
        <w:rPr>
          <w:rFonts w:hint="cs"/>
          <w:rtl/>
        </w:rPr>
        <w:t xml:space="preserve"> </w:t>
      </w:r>
      <w:r>
        <w:rPr>
          <w:rFonts w:hint="cs"/>
          <w:rtl/>
        </w:rPr>
        <w:t>يجب على الأفراد الاتصال بإدارة الخدمات الاجتماعية المحلية في المدينة أو المقاطعة التي يعيشون فيها.</w:t>
      </w:r>
    </w:p>
    <w:p w14:paraId="3D8DD7D2" w14:textId="77777777" w:rsidR="000D4731" w:rsidRDefault="000D4731">
      <w:pPr>
        <w:pStyle w:val="BodyText"/>
        <w:spacing w:before="5"/>
      </w:pPr>
    </w:p>
    <w:p w14:paraId="059D7A05" w14:textId="77777777" w:rsidR="000D4731" w:rsidRDefault="0091292E">
      <w:pPr>
        <w:pStyle w:val="BodyText"/>
        <w:bidi/>
        <w:ind w:left="100" w:right="162"/>
        <w:rPr>
          <w:rtl/>
        </w:rPr>
      </w:pPr>
      <w:r>
        <w:rPr>
          <w:rFonts w:hint="cs"/>
          <w:b/>
          <w:bCs/>
          <w:rtl/>
        </w:rPr>
        <w:t>للتأهل لبرنامج</w:t>
      </w:r>
      <w:r>
        <w:rPr>
          <w:rFonts w:hint="cs"/>
          <w:b/>
          <w:i/>
          <w:color w:val="0000FF"/>
          <w:rtl/>
        </w:rPr>
        <w:t xml:space="preserve"> </w:t>
      </w:r>
      <w:r>
        <w:rPr>
          <w:b/>
          <w:i/>
          <w:color w:val="0000FF"/>
        </w:rPr>
        <w:t>MEDICAID WORKS</w:t>
      </w:r>
      <w:r>
        <w:rPr>
          <w:rFonts w:hint="cs"/>
          <w:rtl/>
        </w:rPr>
        <w:t xml:space="preserve">، تقوم إدارة الخدمات الاجتماعية المحلية بتحديد صلاحية المتقدمين لتلبية متطلبات الدخل والأصول والأهلية. وهذا يعني أن المسجلين الحاليين والجدد في برنامج </w:t>
      </w:r>
      <w:r>
        <w:t>Medicaid</w:t>
      </w:r>
      <w:r>
        <w:rPr>
          <w:rFonts w:hint="cs"/>
          <w:rtl/>
        </w:rPr>
        <w:t xml:space="preserve"> المكفوفين أو المعاقين(1)، يجب أن لا يزيد إجمالي دخلهم القابل للحساب عن 1677 دولارًا أمريكيًا في الشهر وموارد لا تزيد عن 2000 دولار أمريكي في حالة الأعزب أو العزباء (3000 دولار أمريكي في حالة المتزوج أو المتزوجة). بالإضافة إلى ذلك، يجب أن يكون مقدم الطلب:</w:t>
      </w:r>
    </w:p>
    <w:p w14:paraId="055EC66C" w14:textId="77777777" w:rsidR="000D4731" w:rsidRDefault="000D4731">
      <w:pPr>
        <w:pStyle w:val="BodyText"/>
        <w:spacing w:before="3"/>
        <w:rPr>
          <w:sz w:val="23"/>
        </w:rPr>
      </w:pPr>
    </w:p>
    <w:p w14:paraId="1FEEBDFB" w14:textId="77777777" w:rsidR="000D4731" w:rsidRDefault="0091292E">
      <w:pPr>
        <w:pStyle w:val="ListParagraph"/>
        <w:numPr>
          <w:ilvl w:val="0"/>
          <w:numId w:val="1"/>
        </w:numPr>
        <w:tabs>
          <w:tab w:val="left" w:pos="1178"/>
        </w:tabs>
        <w:bidi/>
        <w:spacing w:line="274" w:lineRule="exact"/>
        <w:ind w:left="1178" w:hanging="358"/>
        <w:rPr>
          <w:sz w:val="24"/>
          <w:rtl/>
        </w:rPr>
      </w:pPr>
      <w:r>
        <w:rPr>
          <w:rFonts w:hint="cs"/>
          <w:sz w:val="24"/>
          <w:rtl/>
        </w:rPr>
        <w:t>عمره لا يقل عن 16 عامًا وأقل من 65 عامًا؛</w:t>
      </w:r>
    </w:p>
    <w:p w14:paraId="24FB081F" w14:textId="77777777" w:rsidR="000D4731" w:rsidRDefault="0091292E">
      <w:pPr>
        <w:pStyle w:val="ListParagraph"/>
        <w:numPr>
          <w:ilvl w:val="0"/>
          <w:numId w:val="1"/>
        </w:numPr>
        <w:tabs>
          <w:tab w:val="left" w:pos="1178"/>
          <w:tab w:val="left" w:pos="1180"/>
        </w:tabs>
        <w:bidi/>
        <w:ind w:right="447"/>
        <w:rPr>
          <w:sz w:val="24"/>
          <w:rtl/>
        </w:rPr>
      </w:pPr>
      <w:r>
        <w:rPr>
          <w:rFonts w:hint="cs"/>
          <w:sz w:val="24"/>
          <w:rtl/>
        </w:rPr>
        <w:t>قيد التوظيف حاليًا أو لديه وثائق من صاحب العمل تحدد التاريخ الذي سيبدأ فيه التوظيف؛</w:t>
      </w:r>
    </w:p>
    <w:p w14:paraId="4D73611B" w14:textId="77777777" w:rsidR="000D4731" w:rsidRDefault="0091292E">
      <w:pPr>
        <w:pStyle w:val="ListParagraph"/>
        <w:numPr>
          <w:ilvl w:val="0"/>
          <w:numId w:val="1"/>
        </w:numPr>
        <w:tabs>
          <w:tab w:val="left" w:pos="1178"/>
        </w:tabs>
        <w:bidi/>
        <w:ind w:left="1178" w:hanging="358"/>
        <w:rPr>
          <w:sz w:val="24"/>
          <w:rtl/>
        </w:rPr>
      </w:pPr>
      <w:r>
        <w:rPr>
          <w:rFonts w:hint="cs"/>
          <w:sz w:val="24"/>
          <w:rtl/>
        </w:rPr>
        <w:t>أحد سكان الكومنولث؛ و</w:t>
      </w:r>
    </w:p>
    <w:p w14:paraId="5E612C76" w14:textId="77777777" w:rsidR="000D4731" w:rsidRDefault="0091292E">
      <w:pPr>
        <w:pStyle w:val="ListParagraph"/>
        <w:numPr>
          <w:ilvl w:val="0"/>
          <w:numId w:val="1"/>
        </w:numPr>
        <w:tabs>
          <w:tab w:val="left" w:pos="1178"/>
        </w:tabs>
        <w:bidi/>
        <w:ind w:left="1178" w:hanging="358"/>
        <w:rPr>
          <w:sz w:val="24"/>
          <w:rtl/>
        </w:rPr>
      </w:pPr>
      <w:r>
        <w:rPr>
          <w:rFonts w:hint="cs"/>
          <w:sz w:val="24"/>
          <w:rtl/>
        </w:rPr>
        <w:t>مواطن أمريكي أو مواطن يتمتع بالحماية الأمريكية أو أجنبي مؤهل.</w:t>
      </w:r>
    </w:p>
    <w:p w14:paraId="50F39B09" w14:textId="77777777" w:rsidR="000D4731" w:rsidRDefault="000D4731">
      <w:pPr>
        <w:pStyle w:val="BodyText"/>
      </w:pPr>
    </w:p>
    <w:p w14:paraId="2C8F7EE3" w14:textId="77777777" w:rsidR="000D4731" w:rsidRDefault="0091292E">
      <w:pPr>
        <w:pStyle w:val="BodyText"/>
        <w:bidi/>
        <w:ind w:left="100" w:right="162"/>
        <w:rPr>
          <w:rtl/>
        </w:rPr>
      </w:pPr>
      <w:r>
        <w:rPr>
          <w:rFonts w:hint="cs"/>
          <w:rtl/>
        </w:rPr>
        <w:t>لأغراض هذا البرنامج، فإن المشاركة الحالية في برامج إدارة الضمان الاجتماعي (</w:t>
      </w:r>
      <w:r>
        <w:t>SSA</w:t>
      </w:r>
      <w:r>
        <w:rPr>
          <w:rFonts w:hint="cs"/>
          <w:rtl/>
        </w:rPr>
        <w:t>) الخاصة بدخل الضمان التكميلي (</w:t>
      </w:r>
      <w:r>
        <w:t>SSI</w:t>
      </w:r>
      <w:r>
        <w:rPr>
          <w:rFonts w:hint="cs"/>
          <w:rtl/>
        </w:rPr>
        <w:t>) أو التأمين ضد العجز للضمان الاجتماعي (</w:t>
      </w:r>
      <w:r>
        <w:t>SSDI</w:t>
      </w:r>
      <w:r>
        <w:rPr>
          <w:rFonts w:hint="cs"/>
          <w:rtl/>
        </w:rPr>
        <w:t xml:space="preserve">) ستفي بشرط الإعاقة. سيتعين على أي مقدم طلب آخر ليس لديه وثائق </w:t>
      </w:r>
      <w:r>
        <w:t>SSA</w:t>
      </w:r>
      <w:r>
        <w:rPr>
          <w:rFonts w:hint="cs"/>
          <w:rtl/>
        </w:rPr>
        <w:t xml:space="preserve"> الخاصة بالإعاقة الخضوع لتقييم يجري بواسطة برنامج خدمات تحديد الإعاقة التابع للولاية قبل إثبات الأهلية.</w:t>
      </w:r>
    </w:p>
    <w:p w14:paraId="1803A368" w14:textId="77777777" w:rsidR="000D4731" w:rsidRDefault="000D4731">
      <w:pPr>
        <w:pStyle w:val="BodyText"/>
        <w:spacing w:before="5"/>
      </w:pPr>
    </w:p>
    <w:p w14:paraId="5EA0978F" w14:textId="77777777" w:rsidR="000D4731" w:rsidRDefault="0091292E">
      <w:pPr>
        <w:pStyle w:val="BodyText"/>
        <w:bidi/>
        <w:spacing w:line="242" w:lineRule="auto"/>
        <w:ind w:left="100" w:right="141"/>
        <w:rPr>
          <w:rtl/>
        </w:rPr>
      </w:pPr>
      <w:r>
        <w:rPr>
          <w:rFonts w:hint="cs"/>
          <w:rtl/>
        </w:rPr>
        <w:t xml:space="preserve">للتسجيل في برنامج </w:t>
      </w:r>
      <w:r>
        <w:t>MEDICAID WORKS</w:t>
      </w:r>
      <w:r>
        <w:rPr>
          <w:rFonts w:hint="cs"/>
          <w:rtl/>
        </w:rPr>
        <w:t>، يجب على المتقدمين أولاً إنشاء حساب حوافز العمل (</w:t>
      </w:r>
      <w:r>
        <w:t>WIN</w:t>
      </w:r>
      <w:r>
        <w:rPr>
          <w:rFonts w:hint="cs"/>
          <w:rtl/>
        </w:rPr>
        <w:t xml:space="preserve">) في بنك أو مؤسسة مالية أخرى. حساب </w:t>
      </w:r>
      <w:r>
        <w:t>WIN</w:t>
      </w:r>
      <w:r>
        <w:rPr>
          <w:rFonts w:hint="cs"/>
          <w:rtl/>
        </w:rPr>
        <w:t xml:space="preserve"> ليس حسابًا خاصًا متاحًا في البنك، ولكن يمكن أن يكون حسابًا جاريًا أو حساب توفير عادي يحدده المسجل لهذا الغرض. يجوز إيداع الدخل المكتسب فقط في حساب </w:t>
      </w:r>
      <w:r>
        <w:t>WIN</w:t>
      </w:r>
      <w:r>
        <w:rPr>
          <w:rFonts w:hint="cs"/>
          <w:rtl/>
        </w:rPr>
        <w:t xml:space="preserve">. يجب أن يتم تعيين واحد أو أكثر من حسابات </w:t>
      </w:r>
      <w:r>
        <w:t>WIN</w:t>
      </w:r>
      <w:r>
        <w:rPr>
          <w:rFonts w:hint="cs"/>
          <w:rtl/>
        </w:rPr>
        <w:t xml:space="preserve"> من قبل المسجلين واستخدامها لإيداع جميع الدخل المكتسب. من خلال وضع الدخل المكتسب في حساب </w:t>
      </w:r>
      <w:r>
        <w:t>WIN</w:t>
      </w:r>
      <w:r>
        <w:rPr>
          <w:rFonts w:hint="cs"/>
          <w:rtl/>
        </w:rPr>
        <w:t xml:space="preserve">، يمكن للمسجلين الحصول على موارد في الحساب تصل إلى 46,340 دولارًا أمريكيًا (اعتبارًا من 1 يناير 2023)، وأرباحًا سنوية تصل إلى 75,000 دولارًا أمريكيًا. لا توجد قيود على استخدام الأموال في حساب (حسابات) </w:t>
      </w:r>
      <w:r>
        <w:t>WIN</w:t>
      </w:r>
      <w:r>
        <w:rPr>
          <w:rFonts w:hint="cs"/>
          <w:rtl/>
        </w:rPr>
        <w:t xml:space="preserve"> المذكورة أعلاه، لذا يمكن استخدامها حسب الحاجة. لن يتم احتساب المبالغ المودعة في الأنواع التالية من الحسابات المعتمدة من دائرة الإيرادات الداخلية ضمن حد الموارد هذا ولن تؤثر على أهلية البرنامج، ولكن يجب أيضًا تحديدها على أنها حسابات </w:t>
      </w:r>
      <w:r>
        <w:t>WIN</w:t>
      </w:r>
      <w:r>
        <w:rPr>
          <w:rFonts w:hint="cs"/>
          <w:rtl/>
        </w:rPr>
        <w:t>.</w:t>
      </w:r>
    </w:p>
    <w:p w14:paraId="51E32D6D" w14:textId="77777777" w:rsidR="000D4731" w:rsidRDefault="0091292E">
      <w:pPr>
        <w:pStyle w:val="BodyText"/>
        <w:bidi/>
        <w:spacing w:line="255" w:lineRule="exact"/>
        <w:ind w:left="100"/>
        <w:rPr>
          <w:rtl/>
        </w:rPr>
      </w:pPr>
      <w:r>
        <w:rPr>
          <w:rFonts w:hint="cs"/>
          <w:rtl/>
        </w:rPr>
        <w:t>وتشمل هذه الأنواع حسابات التقاعد، وحسابات التوفير الطبية،</w:t>
      </w:r>
    </w:p>
    <w:p w14:paraId="13529EB2" w14:textId="77777777" w:rsidR="000D4731" w:rsidRDefault="0091292E">
      <w:pPr>
        <w:pStyle w:val="BodyText"/>
        <w:bidi/>
        <w:spacing w:before="1" w:line="237" w:lineRule="auto"/>
        <w:ind w:left="100" w:right="162"/>
        <w:rPr>
          <w:rtl/>
        </w:rPr>
      </w:pPr>
      <w:r>
        <w:rPr>
          <w:rFonts w:hint="cs"/>
          <w:rtl/>
        </w:rPr>
        <w:t>وحسابات السداد الطبي، وحسابات التعليم وحسابات الاستقلال. الوصول إلى هذه الأموال مقيد.</w:t>
      </w:r>
    </w:p>
    <w:p w14:paraId="2DA9C35D" w14:textId="77777777" w:rsidR="00192C47" w:rsidRDefault="00192C47">
      <w:pPr>
        <w:pStyle w:val="BodyText"/>
        <w:bidi/>
        <w:spacing w:before="77"/>
        <w:ind w:left="100" w:right="100"/>
        <w:rPr>
          <w:rtl/>
        </w:rPr>
      </w:pPr>
    </w:p>
    <w:p w14:paraId="5B9D3656" w14:textId="64B8887F" w:rsidR="000D4731" w:rsidRDefault="0091292E" w:rsidP="00192C47">
      <w:pPr>
        <w:pStyle w:val="BodyText"/>
        <w:bidi/>
        <w:spacing w:before="77"/>
        <w:ind w:left="100" w:right="100"/>
        <w:rPr>
          <w:rtl/>
        </w:rPr>
      </w:pPr>
      <w:r>
        <w:rPr>
          <w:rFonts w:hint="cs"/>
          <w:rtl/>
        </w:rPr>
        <w:t xml:space="preserve">بالإضافة إلى ذلك، إذا لزم الأمر، يجب على المتقدمين دفع أي قسط قبل أن يتم التسجيل. إن برنامج </w:t>
      </w:r>
      <w:r>
        <w:rPr>
          <w:b/>
          <w:i/>
          <w:color w:val="0000FF"/>
        </w:rPr>
        <w:t>MEDICAID WORKS</w:t>
      </w:r>
      <w:r>
        <w:rPr>
          <w:rFonts w:hint="cs"/>
          <w:rtl/>
        </w:rPr>
        <w:t xml:space="preserve"> حاليًا مجاني لجميع المسجلين. عند تحديد متطلبات الأقساط، سيتم إخطار المسجلين قبل وقت طويل من تاريخ سريانه. سيتم توفير جدول أقساط يوضح كيفية تحصيل الأقساط على مقياس متدرج بناءً على دخل المسجل الفردي. يجب تقديم مدفوعات الأقساط الشهرية في الوقت المناسب من أجل الحفاظ على الأهلية ومواصلة التسجيل في البرنامج.</w:t>
      </w:r>
    </w:p>
    <w:p w14:paraId="393A7203" w14:textId="77777777" w:rsidR="000D4731" w:rsidRDefault="000D4731">
      <w:pPr>
        <w:pStyle w:val="BodyText"/>
      </w:pPr>
    </w:p>
    <w:p w14:paraId="12349EBB" w14:textId="77777777" w:rsidR="000D4731" w:rsidRDefault="0091292E">
      <w:pPr>
        <w:pStyle w:val="BodyText"/>
        <w:bidi/>
        <w:spacing w:before="1"/>
        <w:ind w:left="100" w:right="162"/>
        <w:rPr>
          <w:rtl/>
        </w:rPr>
      </w:pPr>
      <w:r>
        <w:rPr>
          <w:rFonts w:hint="cs"/>
          <w:rtl/>
        </w:rPr>
        <w:t xml:space="preserve">سيعتمد </w:t>
      </w:r>
      <w:r>
        <w:rPr>
          <w:rFonts w:hint="cs"/>
          <w:b/>
          <w:bCs/>
          <w:rtl/>
        </w:rPr>
        <w:t xml:space="preserve">تاريخ سريان </w:t>
      </w:r>
      <w:r>
        <w:rPr>
          <w:rFonts w:hint="cs"/>
          <w:rtl/>
        </w:rPr>
        <w:t xml:space="preserve">التسجيل في البرنامج على استلام مدفوعات قسط الشهر الأول، إذا لزم الأمر، ووثائق حساب (حسابات) </w:t>
      </w:r>
      <w:r>
        <w:rPr>
          <w:i/>
        </w:rPr>
        <w:t>WIN</w:t>
      </w:r>
      <w:r>
        <w:t xml:space="preserve">. </w:t>
      </w:r>
      <w:r>
        <w:rPr>
          <w:rFonts w:hint="cs"/>
          <w:rtl/>
        </w:rPr>
        <w:t xml:space="preserve">ستبدأ التغطية في اليوم الأول من الشهر التالي للشهر الذي يتم فيه استلام أي مدفوعات أقساط مطلوبة ووثائق </w:t>
      </w:r>
      <w:r>
        <w:t>WIN</w:t>
      </w:r>
      <w:r>
        <w:rPr>
          <w:rFonts w:hint="cs"/>
          <w:rtl/>
        </w:rPr>
        <w:t xml:space="preserve">. في حالة أن مقدم الطلب لديه تاريخ بدء مستقبلي للتوظيف، فإن التاريخ الفعلي للتسجيل لن يكون قبل اليوم </w:t>
      </w:r>
      <w:r>
        <w:rPr>
          <w:rFonts w:hint="cs"/>
          <w:rtl/>
        </w:rPr>
        <w:lastRenderedPageBreak/>
        <w:t>الأول من التوظيف. ومع ذلك، ما لم يبدأ التوظيف في اليوم الأول من الشهر، سيكون التسجيل في البرنامج هو الأول من الشهر التالي.</w:t>
      </w:r>
    </w:p>
    <w:p w14:paraId="07BA23E9" w14:textId="77777777" w:rsidR="000D4731" w:rsidRDefault="000D4731">
      <w:pPr>
        <w:pStyle w:val="BodyText"/>
      </w:pPr>
    </w:p>
    <w:p w14:paraId="0B00490F" w14:textId="77777777" w:rsidR="000D4731" w:rsidRDefault="0091292E">
      <w:pPr>
        <w:pStyle w:val="BodyText"/>
        <w:bidi/>
        <w:ind w:left="100" w:right="100"/>
        <w:rPr>
          <w:rtl/>
        </w:rPr>
      </w:pPr>
      <w:r>
        <w:rPr>
          <w:rFonts w:hint="cs"/>
          <w:b/>
          <w:rtl/>
        </w:rPr>
        <w:t>لمواصلة التسجيل في برنامج</w:t>
      </w:r>
      <w:r>
        <w:rPr>
          <w:rFonts w:hint="cs"/>
          <w:b/>
          <w:i/>
          <w:color w:val="0000FF"/>
          <w:rtl/>
        </w:rPr>
        <w:t xml:space="preserve"> </w:t>
      </w:r>
      <w:r>
        <w:rPr>
          <w:b/>
          <w:i/>
          <w:color w:val="0000FF"/>
        </w:rPr>
        <w:t>MEDICAID WORKS</w:t>
      </w:r>
      <w:r>
        <w:rPr>
          <w:rFonts w:hint="cs"/>
          <w:rtl/>
        </w:rPr>
        <w:t>، يجب أن يظل المسجلون معاقين، وقيد العمل، وأقل من 65 عامًا، وألا تكون لديهم أرباح وموارد أعلى من المبالغ المذكورة أعلاه. بالإضافة إلى ذلك، يجب أن يظل مبلغ الدخل غير المكتسب الذي يتلقاه المسجل أقل من 138% من مستوى الفقر الفيدرالي، كما هو موضح سابقًا في هذه الوثيقة. ومع ذلك، إذا تلقى المسجل مدفوعات شهرية خاصة بالتأمين ضد العجز للضمان الاجتماعي (</w:t>
      </w:r>
      <w:r>
        <w:t>SSDI</w:t>
      </w:r>
      <w:r>
        <w:rPr>
          <w:rFonts w:hint="cs"/>
          <w:rtl/>
        </w:rPr>
        <w:t>) وزاد المبلغ بسبب العمل و/أو تسوية تكلفة المعيشة (</w:t>
      </w:r>
      <w:r>
        <w:t>COLA)</w:t>
      </w:r>
      <w:r>
        <w:rPr>
          <w:rFonts w:hint="cs"/>
          <w:rtl/>
        </w:rPr>
        <w:t xml:space="preserve">، فيجب على المسجل إيداع مبلغ هذه الزيادة في حساب </w:t>
      </w:r>
      <w:r>
        <w:t>WIN</w:t>
      </w:r>
      <w:r>
        <w:rPr>
          <w:rFonts w:hint="cs"/>
          <w:rtl/>
        </w:rPr>
        <w:t xml:space="preserve"> إذا كان مبلغ مدفوعات </w:t>
      </w:r>
      <w:r>
        <w:t>SSDI</w:t>
      </w:r>
      <w:r>
        <w:rPr>
          <w:rFonts w:hint="cs"/>
          <w:rtl/>
        </w:rPr>
        <w:t xml:space="preserve"> الجديد يتجاوز حد الدخل غير المكتسب البالغ 138% من مستوى الفقر الفيدرالي.</w:t>
      </w:r>
    </w:p>
    <w:p w14:paraId="24FF8CC2" w14:textId="77777777" w:rsidR="000D4731" w:rsidRDefault="000D4731">
      <w:pPr>
        <w:pStyle w:val="BodyText"/>
        <w:spacing w:before="1"/>
      </w:pPr>
    </w:p>
    <w:p w14:paraId="7AC7ACD0" w14:textId="77777777" w:rsidR="000D4731" w:rsidRDefault="0091292E">
      <w:pPr>
        <w:pStyle w:val="BodyText"/>
        <w:bidi/>
        <w:ind w:left="100"/>
        <w:rPr>
          <w:rtl/>
        </w:rPr>
      </w:pPr>
      <w:r>
        <w:rPr>
          <w:rFonts w:hint="cs"/>
          <w:rtl/>
        </w:rPr>
        <w:t xml:space="preserve">سيتم إعادة تحديد الأهلية في كثير من الأحيان مرة واحدة سنويًا على الأقل. يتعين على المسجلين إبلاغ موظف تحديد الأهلية الخاص بهم بالتغييرات التي قد تؤثر على تغطيتهم، بما في ذلك على سبيل المثال لا الحصر، تغيير العنوان أو التغيير في الدخل أو التغيير في الوظيفة أو فقدان الوظيفة. ستكون هناك حاجة إلى إعداد تقارير دورية عن الوثائق المتعلقة بصاحب العمل للشخص المسجل، والحالة الوظيفية، والدخل المكتسب وحساب (حسابات) </w:t>
      </w:r>
      <w:r>
        <w:t>WIN</w:t>
      </w:r>
      <w:r>
        <w:rPr>
          <w:rFonts w:hint="cs"/>
          <w:rtl/>
        </w:rPr>
        <w:t>.</w:t>
      </w:r>
    </w:p>
    <w:p w14:paraId="593DAC8F" w14:textId="77777777" w:rsidR="000D4731" w:rsidRDefault="000D4731">
      <w:pPr>
        <w:pStyle w:val="BodyText"/>
        <w:spacing w:before="5"/>
      </w:pPr>
    </w:p>
    <w:p w14:paraId="2E11D3AD" w14:textId="77777777" w:rsidR="000D4731" w:rsidRDefault="0091292E">
      <w:pPr>
        <w:pStyle w:val="BodyText"/>
        <w:bidi/>
        <w:ind w:left="100" w:right="143"/>
        <w:rPr>
          <w:rtl/>
        </w:rPr>
      </w:pPr>
      <w:r>
        <w:rPr>
          <w:rFonts w:hint="cs"/>
          <w:rtl/>
        </w:rPr>
        <w:t xml:space="preserve">تتضمن مكونات </w:t>
      </w:r>
      <w:r>
        <w:rPr>
          <w:rFonts w:hint="cs"/>
          <w:b/>
          <w:bCs/>
          <w:rtl/>
        </w:rPr>
        <w:t>شبكة الأمان</w:t>
      </w:r>
      <w:r>
        <w:rPr>
          <w:rFonts w:hint="cs"/>
          <w:rtl/>
        </w:rPr>
        <w:t xml:space="preserve"> للبرنامج السماح للمسجلين غير القادرين على الحفاظ على عملهم بسبب المرض أو فقدان الوظيفة الذي لا يمكن تجنبه بالبقاء في البرنامج كعاطلين عن العمل لمدة تصل إلى ستة أشهر مع الاستمرار في دفع أي أقساط شهرية مطلوبة.</w:t>
      </w:r>
      <w:r>
        <w:rPr>
          <w:rFonts w:hint="cs"/>
          <w:i/>
          <w:rtl/>
        </w:rPr>
        <w:t xml:space="preserve"> يجب أن يظل مبلغ الدخل غير المكتسب الذي يتلقاه الشخص المسجل أقل من 138% من مستوى الفقر الفيدرالي. تعتبر استحقاقات البطالة النقدية دخلاً غير مكتسب.</w:t>
      </w:r>
      <w:r>
        <w:rPr>
          <w:rFonts w:hint="cs"/>
          <w:rtl/>
        </w:rPr>
        <w:t xml:space="preserve"> ومع ذلك، إذا أصبح أحد المسجلين عاطلاً عن العمل ويتلقى دخلاً من مدفوعات التأمين ضد البطالة، فيجب على المسجل إيداع جميع هذه المدفوعات في حساب </w:t>
      </w:r>
      <w:r>
        <w:t>WIN</w:t>
      </w:r>
      <w:r>
        <w:rPr>
          <w:rFonts w:hint="cs"/>
          <w:rtl/>
        </w:rPr>
        <w:t xml:space="preserve"> حتى يظل مؤهلاً للحصول على برنامج </w:t>
      </w:r>
      <w:r>
        <w:rPr>
          <w:b/>
          <w:i/>
          <w:color w:val="0000FF"/>
        </w:rPr>
        <w:t>MEDICAID WORKS</w:t>
      </w:r>
      <w:r>
        <w:rPr>
          <w:rFonts w:hint="cs"/>
          <w:rtl/>
        </w:rPr>
        <w:t xml:space="preserve"> خلال فترة شبكة الأمان البالغة ستة أشهر أو فترة "السماح". ستقوم إدارة الخدمات الاجتماعية المحلية على وجه السرعة بتقييم المسجلين غير القادرين على الحفاظ على العمل والذين يجب إزالتهم من البرنامج لتحديد ما إذا كانوا يستوفون متطلبات الأهلية لأي مجموعات أخرى مغطاة ببرنامج </w:t>
      </w:r>
      <w:r>
        <w:t>Medicaid</w:t>
      </w:r>
      <w:r>
        <w:rPr>
          <w:rFonts w:hint="cs"/>
          <w:rtl/>
        </w:rPr>
        <w:t>. سيتم إكمال هذا قبل إزالة المسجل من البرنامج.</w:t>
      </w:r>
    </w:p>
    <w:p w14:paraId="302C499C" w14:textId="77777777" w:rsidR="000D4731" w:rsidRDefault="000D4731">
      <w:pPr>
        <w:pStyle w:val="BodyText"/>
        <w:spacing w:before="1"/>
        <w:rPr>
          <w:sz w:val="18"/>
        </w:rPr>
      </w:pPr>
    </w:p>
    <w:p w14:paraId="2E10A6C9" w14:textId="77777777" w:rsidR="000D4731" w:rsidRDefault="0091292E">
      <w:pPr>
        <w:pStyle w:val="BodyText"/>
        <w:bidi/>
        <w:spacing w:before="92"/>
        <w:ind w:left="100" w:right="100"/>
        <w:rPr>
          <w:rtl/>
        </w:rPr>
      </w:pPr>
      <w:r>
        <w:rPr>
          <w:rFonts w:hint="cs"/>
          <w:rtl/>
        </w:rPr>
        <w:t xml:space="preserve">لن يتم احتساب الموارد المتراكمة بعد التسجيل في </w:t>
      </w:r>
      <w:r>
        <w:rPr>
          <w:b/>
          <w:i/>
          <w:color w:val="0000FF"/>
        </w:rPr>
        <w:t>MEDICAID WORKS</w:t>
      </w:r>
      <w:r>
        <w:rPr>
          <w:rFonts w:hint="cs"/>
          <w:rtl/>
        </w:rPr>
        <w:t xml:space="preserve"> من أرباح المسجلين المحتفظ بها في حسابات </w:t>
      </w:r>
      <w:r>
        <w:t>WIN</w:t>
      </w:r>
      <w:r>
        <w:rPr>
          <w:rFonts w:hint="cs"/>
          <w:rtl/>
        </w:rPr>
        <w:t xml:space="preserve"> والتي لا تزيد عن حد </w:t>
      </w:r>
      <w:r>
        <w:t>WIN</w:t>
      </w:r>
      <w:r>
        <w:rPr>
          <w:rFonts w:hint="cs"/>
          <w:rtl/>
        </w:rPr>
        <w:t xml:space="preserve"> في تحديد الأهلية هذا. إذا وجد أن الفرد مؤهل وتم تسجيله في مجموعة أخرى مغطاة ببرنامج </w:t>
      </w:r>
      <w:r>
        <w:t>Medicaid</w:t>
      </w:r>
      <w:r>
        <w:rPr>
          <w:rFonts w:hint="cs"/>
          <w:rtl/>
        </w:rPr>
        <w:t xml:space="preserve">، فسيكون أمام الفرد ما يصل إلى عام واحد للتخلص من هذه الأموال قبل أن يتم احتسابها ضمن أهلية </w:t>
      </w:r>
      <w:r>
        <w:t>Medicaid</w:t>
      </w:r>
      <w:r>
        <w:rPr>
          <w:rFonts w:hint="cs"/>
          <w:rtl/>
        </w:rPr>
        <w:t xml:space="preserve"> المستمرة.</w:t>
      </w:r>
    </w:p>
    <w:p w14:paraId="4FDB40F0" w14:textId="77777777" w:rsidR="000D4731" w:rsidRDefault="000D4731">
      <w:pPr>
        <w:pStyle w:val="BodyText"/>
        <w:spacing w:before="5"/>
      </w:pPr>
    </w:p>
    <w:p w14:paraId="295721D0" w14:textId="77777777" w:rsidR="000D4731" w:rsidRDefault="0091292E">
      <w:pPr>
        <w:pStyle w:val="BodyText"/>
        <w:bidi/>
        <w:ind w:left="100" w:right="162"/>
        <w:rPr>
          <w:rtl/>
        </w:rPr>
      </w:pPr>
      <w:r>
        <w:rPr>
          <w:rFonts w:hint="cs"/>
          <w:rtl/>
        </w:rPr>
        <w:t xml:space="preserve">لن يتم احتساب الموارد المتراكمة بعد التسجيل في </w:t>
      </w:r>
      <w:r>
        <w:rPr>
          <w:b/>
          <w:i/>
          <w:color w:val="0000FF"/>
        </w:rPr>
        <w:t>MEDICAID WORKS</w:t>
      </w:r>
      <w:r>
        <w:rPr>
          <w:rFonts w:hint="cs"/>
          <w:rtl/>
        </w:rPr>
        <w:t xml:space="preserve"> من أرباح المسجلين المحتفظ بها في الحسابات المعتمدة من </w:t>
      </w:r>
      <w:r>
        <w:t>IRS</w:t>
      </w:r>
      <w:r>
        <w:rPr>
          <w:rFonts w:hint="cs"/>
          <w:rtl/>
        </w:rPr>
        <w:t xml:space="preserve"> التالية والتي تم تعيينها كحسابات </w:t>
      </w:r>
      <w:r>
        <w:t>WIN</w:t>
      </w:r>
      <w:r>
        <w:rPr>
          <w:rFonts w:hint="cs"/>
          <w:rtl/>
        </w:rPr>
        <w:t xml:space="preserve"> في تحديد أي قرارات أهلية مستقبلية. وتشمل هذه الأنواع حسابات التقاعد المعتمدة من دائرة الإيرادات الداخلية، وحسابات المدخرات الطبية، وحسابات التعليم والاستقلال.</w:t>
      </w:r>
    </w:p>
    <w:p w14:paraId="0EB8EE40" w14:textId="77777777" w:rsidR="000D4731" w:rsidRDefault="000D4731">
      <w:pPr>
        <w:pStyle w:val="BodyText"/>
        <w:spacing w:before="5"/>
      </w:pPr>
    </w:p>
    <w:p w14:paraId="6798BDE0" w14:textId="77777777" w:rsidR="000D4731" w:rsidRDefault="0091292E">
      <w:pPr>
        <w:pStyle w:val="BodyText"/>
        <w:bidi/>
        <w:spacing w:before="1"/>
        <w:ind w:left="100"/>
        <w:rPr>
          <w:rtl/>
        </w:rPr>
      </w:pPr>
      <w:r>
        <w:rPr>
          <w:rFonts w:hint="cs"/>
          <w:rtl/>
        </w:rPr>
        <w:t xml:space="preserve">لمزيد من المعلومات أو لتقديم طلب للحصول على برنامج </w:t>
      </w:r>
      <w:r>
        <w:rPr>
          <w:b/>
          <w:i/>
          <w:color w:val="0000FF"/>
        </w:rPr>
        <w:t>MEDICAID WORKS</w:t>
      </w:r>
      <w:r>
        <w:rPr>
          <w:rFonts w:hint="cs"/>
          <w:rtl/>
        </w:rPr>
        <w:t xml:space="preserve">، يرجى الاتصال بالإدارة المحلية للخدمات الاجتماعية في المدينة أو المقاطعة التي تعيش فيها.  معلومات الاتصال متاحة على </w:t>
      </w:r>
      <w:hyperlink r:id="rId7">
        <w:r>
          <w:rPr>
            <w:color w:val="0000FF"/>
            <w:u w:val="single" w:color="0000FF"/>
          </w:rPr>
          <w:t>http://www.dss.virginia.gov/localagency</w:t>
        </w:r>
      </w:hyperlink>
      <w:r>
        <w:t>.</w:t>
      </w:r>
    </w:p>
    <w:p w14:paraId="69B93628" w14:textId="77777777" w:rsidR="000D4731" w:rsidRDefault="000D4731">
      <w:pPr>
        <w:pStyle w:val="BodyText"/>
        <w:rPr>
          <w:sz w:val="20"/>
        </w:rPr>
      </w:pPr>
    </w:p>
    <w:p w14:paraId="015F7912" w14:textId="77777777" w:rsidR="000D4731" w:rsidRDefault="000D4731">
      <w:pPr>
        <w:pStyle w:val="BodyText"/>
        <w:rPr>
          <w:sz w:val="20"/>
        </w:rPr>
      </w:pPr>
    </w:p>
    <w:p w14:paraId="46B46787" w14:textId="77777777" w:rsidR="000D4731" w:rsidRDefault="000D4731">
      <w:pPr>
        <w:pStyle w:val="BodyText"/>
        <w:rPr>
          <w:sz w:val="20"/>
        </w:rPr>
      </w:pPr>
    </w:p>
    <w:p w14:paraId="11F48488" w14:textId="77777777" w:rsidR="000D4731" w:rsidRDefault="000D4731">
      <w:pPr>
        <w:pStyle w:val="BodyText"/>
        <w:rPr>
          <w:sz w:val="20"/>
        </w:rPr>
      </w:pPr>
    </w:p>
    <w:p w14:paraId="6C8D1638" w14:textId="77777777" w:rsidR="000D4731" w:rsidRDefault="000D4731">
      <w:pPr>
        <w:pStyle w:val="BodyText"/>
        <w:rPr>
          <w:sz w:val="20"/>
        </w:rPr>
      </w:pPr>
    </w:p>
    <w:p w14:paraId="7B9A40C0" w14:textId="77777777" w:rsidR="000D4731" w:rsidRDefault="000D4731">
      <w:pPr>
        <w:pStyle w:val="BodyText"/>
        <w:rPr>
          <w:sz w:val="20"/>
        </w:rPr>
      </w:pPr>
    </w:p>
    <w:p w14:paraId="67B300DB" w14:textId="77777777" w:rsidR="000D4731" w:rsidRDefault="000D4731">
      <w:pPr>
        <w:pStyle w:val="BodyText"/>
        <w:rPr>
          <w:sz w:val="20"/>
        </w:rPr>
      </w:pPr>
    </w:p>
    <w:p w14:paraId="49287D6F" w14:textId="77777777" w:rsidR="00192C47" w:rsidRDefault="00192C47">
      <w:pPr>
        <w:pStyle w:val="BodyText"/>
        <w:rPr>
          <w:sz w:val="20"/>
        </w:rPr>
      </w:pPr>
    </w:p>
    <w:p w14:paraId="5934BC2E" w14:textId="77777777" w:rsidR="000D4731" w:rsidRDefault="000D4731">
      <w:pPr>
        <w:pStyle w:val="BodyText"/>
        <w:rPr>
          <w:sz w:val="20"/>
        </w:rPr>
      </w:pPr>
    </w:p>
    <w:p w14:paraId="57241CC2" w14:textId="77777777" w:rsidR="000D4731" w:rsidRDefault="000D4731">
      <w:pPr>
        <w:pStyle w:val="BodyText"/>
        <w:rPr>
          <w:sz w:val="20"/>
        </w:rPr>
      </w:pPr>
    </w:p>
    <w:p w14:paraId="1F701578" w14:textId="77777777" w:rsidR="000D4731" w:rsidRDefault="000D4731">
      <w:pPr>
        <w:pStyle w:val="BodyText"/>
        <w:spacing w:before="8"/>
        <w:rPr>
          <w:sz w:val="29"/>
        </w:rPr>
      </w:pPr>
    </w:p>
    <w:p w14:paraId="29F47204" w14:textId="77777777" w:rsidR="000D4731" w:rsidRDefault="0091292E">
      <w:pPr>
        <w:pStyle w:val="Heading1"/>
        <w:bidi/>
        <w:spacing w:before="92"/>
        <w:rPr>
          <w:rtl/>
        </w:rPr>
      </w:pPr>
      <w:r>
        <w:rPr>
          <w:rFonts w:hint="cs"/>
          <w:rtl/>
        </w:rPr>
        <w:lastRenderedPageBreak/>
        <w:t>ملاحظات مرجعية:</w:t>
      </w:r>
    </w:p>
    <w:p w14:paraId="21C6B9A1" w14:textId="77777777" w:rsidR="000D4731" w:rsidRDefault="000D4731">
      <w:pPr>
        <w:pStyle w:val="BodyText"/>
        <w:rPr>
          <w:b/>
        </w:rPr>
      </w:pPr>
    </w:p>
    <w:p w14:paraId="5FCC157A" w14:textId="77777777" w:rsidR="000D4731" w:rsidRDefault="0091292E">
      <w:pPr>
        <w:pStyle w:val="BodyText"/>
        <w:bidi/>
        <w:ind w:left="100" w:right="484"/>
        <w:rPr>
          <w:rtl/>
        </w:rPr>
      </w:pPr>
      <w:r>
        <w:rPr>
          <w:rFonts w:hint="cs"/>
          <w:b/>
          <w:sz w:val="16"/>
          <w:rtl/>
        </w:rPr>
        <w:t xml:space="preserve">1 </w:t>
      </w:r>
      <w:r>
        <w:rPr>
          <w:rFonts w:hint="cs"/>
          <w:rtl/>
        </w:rPr>
        <w:t>"معاق" يعني أن الفرد غير قادر على العمل بسبب حالة طبية، على النحو المحدد من قبل إدارة الضمان الاجتماعي (</w:t>
      </w:r>
      <w:r>
        <w:t>SSA).</w:t>
      </w:r>
    </w:p>
    <w:p w14:paraId="3360C7CE" w14:textId="77777777" w:rsidR="000D4731" w:rsidRDefault="000D4731">
      <w:pPr>
        <w:pStyle w:val="BodyText"/>
        <w:spacing w:before="4"/>
        <w:rPr>
          <w:sz w:val="23"/>
        </w:rPr>
      </w:pPr>
    </w:p>
    <w:p w14:paraId="22DE058D" w14:textId="77777777" w:rsidR="000D4731" w:rsidRDefault="0091292E">
      <w:pPr>
        <w:pStyle w:val="BodyText"/>
        <w:bidi/>
        <w:ind w:left="100" w:right="245"/>
        <w:rPr>
          <w:rtl/>
        </w:rPr>
      </w:pPr>
      <w:r>
        <w:rPr>
          <w:rFonts w:hint="cs"/>
          <w:b/>
          <w:sz w:val="16"/>
          <w:rtl/>
        </w:rPr>
        <w:t xml:space="preserve">2 </w:t>
      </w:r>
      <w:r>
        <w:rPr>
          <w:rFonts w:hint="cs"/>
          <w:rtl/>
        </w:rPr>
        <w:t>"موظف" أو "عامل" يعني أن مقدم الطلب/المسجل يجب أن ينخرط في عمل تنافسي في بيئة متكاملة وأن يحصل على تعويض يساوي أو يزيد عن الحد الأدنى للأجور الذي يتم خصم ضرائب الرواتب منه (الوثائق مطلوبة). إذا كنت تعمل لحسابك الخاص، فيجب إثبات الأرباح من خلال وثائق الإقرارات الضريبية الخاصة بدائرة الإيرادات الداخلية، والضرائب المقدرة ربع السنوية، وسجلات الأعمال و/أو خطة العمل.</w:t>
      </w:r>
    </w:p>
    <w:p w14:paraId="3A87B249" w14:textId="77777777" w:rsidR="000D4731" w:rsidRDefault="000D4731">
      <w:pPr>
        <w:pStyle w:val="BodyText"/>
        <w:rPr>
          <w:sz w:val="26"/>
        </w:rPr>
      </w:pPr>
    </w:p>
    <w:p w14:paraId="02CF7FFA" w14:textId="77777777" w:rsidR="000D4731" w:rsidRDefault="000D4731">
      <w:pPr>
        <w:pStyle w:val="BodyText"/>
        <w:rPr>
          <w:sz w:val="26"/>
        </w:rPr>
      </w:pPr>
    </w:p>
    <w:p w14:paraId="6D6D4B0C" w14:textId="77777777" w:rsidR="000D4731" w:rsidRDefault="000D4731">
      <w:pPr>
        <w:pStyle w:val="BodyText"/>
        <w:rPr>
          <w:sz w:val="26"/>
        </w:rPr>
      </w:pPr>
    </w:p>
    <w:p w14:paraId="14E4F22B" w14:textId="77777777" w:rsidR="000D4731" w:rsidRDefault="000D4731">
      <w:pPr>
        <w:pStyle w:val="BodyText"/>
        <w:rPr>
          <w:sz w:val="26"/>
        </w:rPr>
      </w:pPr>
    </w:p>
    <w:p w14:paraId="2E2B07E8" w14:textId="77777777" w:rsidR="000D4731" w:rsidRDefault="000D4731">
      <w:pPr>
        <w:pStyle w:val="BodyText"/>
        <w:rPr>
          <w:sz w:val="26"/>
        </w:rPr>
      </w:pPr>
    </w:p>
    <w:p w14:paraId="43DB102B" w14:textId="77777777" w:rsidR="000D4731" w:rsidRDefault="000D4731">
      <w:pPr>
        <w:pStyle w:val="BodyText"/>
        <w:spacing w:before="2"/>
        <w:rPr>
          <w:sz w:val="38"/>
        </w:rPr>
      </w:pPr>
    </w:p>
    <w:p w14:paraId="46082700" w14:textId="77777777" w:rsidR="000D4731" w:rsidRDefault="0091292E">
      <w:pPr>
        <w:bidi/>
        <w:ind w:left="952"/>
        <w:rPr>
          <w:sz w:val="18"/>
          <w:rtl/>
        </w:rPr>
      </w:pPr>
      <w:r>
        <w:rPr>
          <w:rFonts w:hint="cs"/>
          <w:sz w:val="18"/>
          <w:rtl/>
        </w:rPr>
        <w:t>من إعداد إدارة خدمات المساعدة الطبية بفيرجينيا، تمت مراجعته في 24 فبراير 2022</w:t>
      </w:r>
    </w:p>
    <w:sectPr w:rsidR="000D4731">
      <w:footerReference w:type="default" r:id="rId8"/>
      <w:pgSz w:w="12240" w:h="15840"/>
      <w:pgMar w:top="1820" w:right="1340" w:bottom="980" w:left="1340" w:header="0" w:footer="7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89FC7" w14:textId="77777777" w:rsidR="00D64BF6" w:rsidRDefault="00D64BF6">
      <w:r>
        <w:separator/>
      </w:r>
    </w:p>
  </w:endnote>
  <w:endnote w:type="continuationSeparator" w:id="0">
    <w:p w14:paraId="26810E5B" w14:textId="77777777" w:rsidR="00D64BF6" w:rsidRDefault="00D6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95451" w14:textId="77777777" w:rsidR="000D4731" w:rsidRDefault="0091292E">
    <w:pPr>
      <w:pStyle w:val="BodyText"/>
      <w:bidi/>
      <w:spacing w:line="14" w:lineRule="auto"/>
      <w:rPr>
        <w:sz w:val="20"/>
        <w:rtl/>
      </w:rPr>
    </w:pPr>
    <w:r>
      <w:rPr>
        <w:rFonts w:hint="cs"/>
        <w:noProof/>
        <w:rtl/>
      </w:rPr>
      <mc:AlternateContent>
        <mc:Choice Requires="wps">
          <w:drawing>
            <wp:anchor distT="0" distB="0" distL="0" distR="0" simplePos="0" relativeHeight="487537664" behindDoc="1" locked="0" layoutInCell="1" allowOverlap="1" wp14:anchorId="02EE0500" wp14:editId="004288E7">
              <wp:simplePos x="0" y="0"/>
              <wp:positionH relativeFrom="page">
                <wp:posOffset>3813936</wp:posOffset>
              </wp:positionH>
              <wp:positionV relativeFrom="page">
                <wp:posOffset>9417297</wp:posOffset>
              </wp:positionV>
              <wp:extent cx="15938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138AA65E" w14:textId="77777777" w:rsidR="000D4731" w:rsidRDefault="0091292E">
                          <w:pPr>
                            <w:bidi/>
                            <w:spacing w:before="12"/>
                            <w:ind w:left="60"/>
                            <w:rPr>
                              <w:sz w:val="20"/>
                              <w:rtl/>
                            </w:rPr>
                          </w:pPr>
                          <w:r>
                            <w:rPr>
                              <w:rFonts w:hint="cs"/>
                              <w:sz w:val="20"/>
                              <w:rtl/>
                            </w:rPr>
                            <w:fldChar w:fldCharType="begin"/>
                          </w:r>
                          <w:r>
                            <w:rPr>
                              <w:rtl/>
                            </w:rPr>
                            <w:instrText xml:space="preserve"> </w:instrText>
                          </w:r>
                          <w:r>
                            <w:rPr>
                              <w:rFonts w:hint="cs"/>
                              <w:sz w:val="20"/>
                            </w:rPr>
                            <w:instrText xml:space="preserve">PAGE </w:instrText>
                          </w:r>
                          <w:r>
                            <w:rPr>
                              <w:rFonts w:hint="cs"/>
                              <w:sz w:val="20"/>
                              <w:rtl/>
                            </w:rPr>
                            <w:fldChar w:fldCharType="separate"/>
                          </w:r>
                          <w:r>
                            <w:rPr>
                              <w:rFonts w:hint="cs"/>
                              <w:sz w:val="20"/>
                              <w:rtl/>
                            </w:rPr>
                            <w:t>1</w:t>
                          </w:r>
                          <w:r>
                            <w:rPr>
                              <w:rFonts w:hint="cs"/>
                              <w:sz w:val="20"/>
                              <w:rtl/>
                            </w:rPr>
                            <w:fldChar w:fldCharType="end"/>
                          </w:r>
                        </w:p>
                      </w:txbxContent>
                    </wps:txbx>
                    <wps:bodyPr wrap="square" lIns="0" tIns="0" rIns="0" bIns="0" rtlCol="0">
                      <a:noAutofit/>
                    </wps:bodyPr>
                  </wps:wsp>
                </a:graphicData>
              </a:graphic>
            </wp:anchor>
          </w:drawing>
        </mc:Choice>
        <mc:Fallback>
          <w:pict>
            <v:shapetype w14:anchorId="02EE0500" id="_x0000_t202" coordsize="21600,21600" o:spt="202" path="m,l,21600r21600,l21600,xe">
              <v:stroke joinstyle="miter"/>
              <v:path gradientshapeok="t" o:connecttype="rect"/>
            </v:shapetype>
            <v:shape id="Textbox 1" o:spid="_x0000_s1026" type="#_x0000_t202" style="position:absolute;margin-left:300.3pt;margin-top:741.5pt;width:12.55pt;height:13.15pt;z-index:-1577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" filled="f" stroked="f">
              <v:textbox inset="0,0,0,0">
                <w:txbxContent>
                  <w:p w14:paraId="138AA65E" w14:textId="77777777" w:rsidR="000D4731" w:rsidRDefault="0091292E">
                    <w:pPr>
                      <w:spacing w:before="12"/>
                      <w:ind w:left="60"/>
                      <w:bidi/>
                      <w:rPr>
                        <w:sz w:val="20"/>
                        <w:rFonts w:hint="cs"/>
                        <w:rtl/>
                      </w:rPr>
                    </w:pPr>
                    <w:r>
                      <w:rPr>
                        <w:sz w:val="20"/>
                        <w:rFonts w:hint="cs"/>
                        <w:rtl/>
                      </w:rPr>
                      <w:fldChar w:fldCharType="begin"/>
                    </w:r>
                    <w:r>
                      <w:rPr>
                        <w:rtl/>
                      </w:rPr>
                      <w:instrText xml:space="preserve"> </w:instrText>
                    </w:r>
                    <w:r>
                      <w:rPr>
                        <w:sz w:val="20"/>
                        <w:rFonts w:hint="cs"/>
                      </w:rPr>
                      <w:instrText xml:space="preserve">PAGE </w:instrText>
                    </w:r>
                    <w:r>
                      <w:rPr>
                        <w:sz w:val="20"/>
                        <w:rFonts w:hint="cs"/>
                        <w:rtl/>
                      </w:rPr>
                      <w:fldChar w:fldCharType="separate"/>
                    </w:r>
                    <w:r>
                      <w:rPr>
                        <w:sz w:val="20"/>
                        <w:rFonts w:hint="cs"/>
                        <w:rtl/>
                      </w:rPr>
                      <w:t>1</w:t>
                    </w:r>
                    <w:r>
                      <w:rPr>
                        <w:sz w:val="20"/>
                        <w:rFonts w:hint="cs"/>
                        <w:rt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D1FF4" w14:textId="77777777" w:rsidR="00D64BF6" w:rsidRDefault="00D64BF6">
      <w:r>
        <w:separator/>
      </w:r>
    </w:p>
  </w:footnote>
  <w:footnote w:type="continuationSeparator" w:id="0">
    <w:p w14:paraId="386A7DE2" w14:textId="77777777" w:rsidR="00D64BF6" w:rsidRDefault="00D64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C6546"/>
    <w:multiLevelType w:val="hybridMultilevel"/>
    <w:tmpl w:val="F1304B1A"/>
    <w:lvl w:ilvl="0" w:tplc="98C401E2">
      <w:start w:val="1"/>
      <w:numFmt w:val="decimal"/>
      <w:lvlText w:val="%1."/>
      <w:lvlJc w:val="left"/>
      <w:pPr>
        <w:ind w:left="1180" w:hanging="360"/>
        <w:jc w:val="left"/>
      </w:pPr>
      <w:rPr>
        <w:rFonts w:ascii="Arial" w:eastAsia="Arial" w:hAnsi="Arial" w:cs="Arial" w:hint="default"/>
        <w:b w:val="0"/>
        <w:bCs w:val="0"/>
        <w:i w:val="0"/>
        <w:iCs w:val="0"/>
        <w:spacing w:val="0"/>
        <w:w w:val="100"/>
        <w:sz w:val="24"/>
        <w:szCs w:val="24"/>
        <w:lang w:val="en-US" w:eastAsia="en-US" w:bidi="ar-SA"/>
      </w:rPr>
    </w:lvl>
    <w:lvl w:ilvl="1" w:tplc="9F7CEDE6">
      <w:numFmt w:val="bullet"/>
      <w:lvlText w:val="•"/>
      <w:lvlJc w:val="left"/>
      <w:pPr>
        <w:ind w:left="2018" w:hanging="360"/>
      </w:pPr>
      <w:rPr>
        <w:rFonts w:hint="default"/>
        <w:lang w:val="en-US" w:eastAsia="en-US" w:bidi="ar-SA"/>
      </w:rPr>
    </w:lvl>
    <w:lvl w:ilvl="2" w:tplc="3306E05C">
      <w:numFmt w:val="bullet"/>
      <w:lvlText w:val="•"/>
      <w:lvlJc w:val="left"/>
      <w:pPr>
        <w:ind w:left="2856" w:hanging="360"/>
      </w:pPr>
      <w:rPr>
        <w:rFonts w:hint="default"/>
        <w:lang w:val="en-US" w:eastAsia="en-US" w:bidi="ar-SA"/>
      </w:rPr>
    </w:lvl>
    <w:lvl w:ilvl="3" w:tplc="C5C47198">
      <w:numFmt w:val="bullet"/>
      <w:lvlText w:val="•"/>
      <w:lvlJc w:val="left"/>
      <w:pPr>
        <w:ind w:left="3694" w:hanging="360"/>
      </w:pPr>
      <w:rPr>
        <w:rFonts w:hint="default"/>
        <w:lang w:val="en-US" w:eastAsia="en-US" w:bidi="ar-SA"/>
      </w:rPr>
    </w:lvl>
    <w:lvl w:ilvl="4" w:tplc="52BEA49A">
      <w:numFmt w:val="bullet"/>
      <w:lvlText w:val="•"/>
      <w:lvlJc w:val="left"/>
      <w:pPr>
        <w:ind w:left="4532" w:hanging="360"/>
      </w:pPr>
      <w:rPr>
        <w:rFonts w:hint="default"/>
        <w:lang w:val="en-US" w:eastAsia="en-US" w:bidi="ar-SA"/>
      </w:rPr>
    </w:lvl>
    <w:lvl w:ilvl="5" w:tplc="407C56AC">
      <w:numFmt w:val="bullet"/>
      <w:lvlText w:val="•"/>
      <w:lvlJc w:val="left"/>
      <w:pPr>
        <w:ind w:left="5370" w:hanging="360"/>
      </w:pPr>
      <w:rPr>
        <w:rFonts w:hint="default"/>
        <w:lang w:val="en-US" w:eastAsia="en-US" w:bidi="ar-SA"/>
      </w:rPr>
    </w:lvl>
    <w:lvl w:ilvl="6" w:tplc="73F60A72">
      <w:numFmt w:val="bullet"/>
      <w:lvlText w:val="•"/>
      <w:lvlJc w:val="left"/>
      <w:pPr>
        <w:ind w:left="6208" w:hanging="360"/>
      </w:pPr>
      <w:rPr>
        <w:rFonts w:hint="default"/>
        <w:lang w:val="en-US" w:eastAsia="en-US" w:bidi="ar-SA"/>
      </w:rPr>
    </w:lvl>
    <w:lvl w:ilvl="7" w:tplc="3650154A">
      <w:numFmt w:val="bullet"/>
      <w:lvlText w:val="•"/>
      <w:lvlJc w:val="left"/>
      <w:pPr>
        <w:ind w:left="7046" w:hanging="360"/>
      </w:pPr>
      <w:rPr>
        <w:rFonts w:hint="default"/>
        <w:lang w:val="en-US" w:eastAsia="en-US" w:bidi="ar-SA"/>
      </w:rPr>
    </w:lvl>
    <w:lvl w:ilvl="8" w:tplc="F806B74A">
      <w:numFmt w:val="bullet"/>
      <w:lvlText w:val="•"/>
      <w:lvlJc w:val="left"/>
      <w:pPr>
        <w:ind w:left="7884" w:hanging="360"/>
      </w:pPr>
      <w:rPr>
        <w:rFonts w:hint="default"/>
        <w:lang w:val="en-US" w:eastAsia="en-US" w:bidi="ar-SA"/>
      </w:rPr>
    </w:lvl>
  </w:abstractNum>
  <w:num w:numId="1" w16cid:durableId="963081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31"/>
    <w:rsid w:val="000D4731"/>
    <w:rsid w:val="00192C47"/>
    <w:rsid w:val="007E006E"/>
    <w:rsid w:val="0091292E"/>
    <w:rsid w:val="00B4755A"/>
    <w:rsid w:val="00D64BF6"/>
    <w:rsid w:val="00FB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84163"/>
  <w15:docId w15:val="{900AD04D-7F28-4233-89E7-805B1606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EG"/>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5"/>
      <w:ind w:left="3324" w:right="3325"/>
      <w:jc w:val="center"/>
    </w:pPr>
    <w:rPr>
      <w:b/>
      <w:bCs/>
      <w:i/>
      <w:iCs/>
      <w:sz w:val="32"/>
      <w:szCs w:val="32"/>
    </w:rPr>
  </w:style>
  <w:style w:type="paragraph" w:styleId="ListParagraph">
    <w:name w:val="List Paragraph"/>
    <w:basedOn w:val="Normal"/>
    <w:uiPriority w:val="1"/>
    <w:qFormat/>
    <w:pPr>
      <w:ind w:left="1178" w:hanging="3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ss.virginia.gov/localagen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1062</Words>
  <Characters>5846</Characters>
  <Application>Microsoft Office Word</Application>
  <DocSecurity>0</DocSecurity>
  <Lines>48</Lines>
  <Paragraphs>13</Paragraphs>
  <ScaleCrop>false</ScaleCrop>
  <Company>VITA</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Medicaid Works Guide</dc:title>
  <dc:creator>Perez, Jesus (DMAS)</dc:creator>
  <cp:lastModifiedBy>Milagros Cárdenes</cp:lastModifiedBy>
  <cp:revision>4</cp:revision>
  <dcterms:created xsi:type="dcterms:W3CDTF">2023-08-22T14:24:00Z</dcterms:created>
  <dcterms:modified xsi:type="dcterms:W3CDTF">2023-08-24T20:04:00Z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2022-02-24T00:00:00Z</vt:filetime>
  </property>
  <property fmtid="{D5CDD505-2E9C-101B-9397-08002B2CF9AE}" pid="3" name="LastSaved">
    <vt:filetime>2023-08-20T00:00:00Z</vt:filetime>
  </property>
</Properties>
</file>